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91BB" w14:textId="6E942C3D" w:rsidR="00032694" w:rsidRPr="003E1850" w:rsidRDefault="00E65D96" w:rsidP="00E65D96">
      <w:pPr>
        <w:pStyle w:val="TOCHeading"/>
        <w:rPr>
          <w:rStyle w:val="BookTitle"/>
          <w:rFonts w:ascii="Arial" w:hAnsi="Arial" w:cs="Arial"/>
          <w:i w:val="0"/>
          <w:color w:val="auto"/>
          <w:sz w:val="72"/>
          <w:szCs w:val="72"/>
        </w:rPr>
      </w:pPr>
      <w:r w:rsidRPr="003E1850">
        <w:rPr>
          <w:rStyle w:val="BookTitle"/>
          <w:rFonts w:ascii="Arial" w:hAnsi="Arial" w:cs="Arial"/>
          <w:i w:val="0"/>
          <w:color w:val="auto"/>
          <w:sz w:val="72"/>
          <w:szCs w:val="72"/>
        </w:rPr>
        <w:t>MANDENI MUNICIPALITY</w:t>
      </w:r>
    </w:p>
    <w:p w14:paraId="45721725" w14:textId="44EED15D" w:rsidR="00E65D96" w:rsidRDefault="00E65D96" w:rsidP="00E65D96"/>
    <w:p w14:paraId="18E2BE58" w14:textId="4DACFC7A" w:rsidR="00E65D96" w:rsidRDefault="00E65D96" w:rsidP="00E65D96"/>
    <w:p w14:paraId="005EAB3E" w14:textId="7DBCE1AC" w:rsidR="00E65D96" w:rsidRDefault="00E65D96" w:rsidP="00E65D96">
      <w:r>
        <w:tab/>
      </w:r>
      <w:r>
        <w:tab/>
      </w:r>
      <w:r>
        <w:tab/>
      </w:r>
      <w:r>
        <w:tab/>
      </w:r>
      <w:r>
        <w:tab/>
      </w:r>
      <w:r w:rsidRPr="0071656F">
        <w:rPr>
          <w:rFonts w:ascii="Arial" w:hAnsi="Arial"/>
          <w:noProof/>
          <w:sz w:val="72"/>
          <w:szCs w:val="72"/>
        </w:rPr>
        <w:drawing>
          <wp:inline distT="0" distB="0" distL="0" distR="0" wp14:anchorId="07177487" wp14:editId="1E18A3C6">
            <wp:extent cx="4286250" cy="3381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381375"/>
                    </a:xfrm>
                    <a:prstGeom prst="rect">
                      <a:avLst/>
                    </a:prstGeom>
                    <a:noFill/>
                    <a:ln>
                      <a:noFill/>
                    </a:ln>
                  </pic:spPr>
                </pic:pic>
              </a:graphicData>
            </a:graphic>
          </wp:inline>
        </w:drawing>
      </w:r>
    </w:p>
    <w:p w14:paraId="522A6C15" w14:textId="751F964B" w:rsidR="00E65D96" w:rsidRDefault="00E65D96" w:rsidP="00E65D96"/>
    <w:p w14:paraId="57D5C2DD" w14:textId="3EA18FCC" w:rsidR="00E65D96" w:rsidRDefault="00E65D96" w:rsidP="00E65D96"/>
    <w:p w14:paraId="57165415" w14:textId="0EA494B4" w:rsidR="00E65D96" w:rsidRDefault="00E65D96" w:rsidP="00E65D96"/>
    <w:p w14:paraId="5AE98685" w14:textId="4BDA80F2" w:rsidR="00E65D96" w:rsidRDefault="00E65D96" w:rsidP="00E65D96"/>
    <w:p w14:paraId="4338CB6A" w14:textId="06E6D5CB" w:rsidR="00E65D96" w:rsidRPr="008F7C09" w:rsidRDefault="00E65D96" w:rsidP="00B6341F">
      <w:pPr>
        <w:rPr>
          <w:sz w:val="72"/>
          <w:szCs w:val="72"/>
        </w:rPr>
      </w:pPr>
    </w:p>
    <w:p w14:paraId="61C963EF" w14:textId="4F17C20E" w:rsidR="00E65D96" w:rsidRPr="00E65D96" w:rsidRDefault="00B6341F" w:rsidP="00B6341F">
      <w:pPr>
        <w:ind w:left="1440"/>
        <w:rPr>
          <w:rFonts w:ascii="Arial" w:hAnsi="Arial" w:cs="Arial"/>
          <w:b/>
          <w:sz w:val="72"/>
          <w:szCs w:val="72"/>
          <w:lang w:val="en-US"/>
        </w:rPr>
      </w:pPr>
      <w:r>
        <w:rPr>
          <w:rFonts w:ascii="Arial" w:hAnsi="Arial" w:cs="Arial"/>
          <w:b/>
          <w:sz w:val="72"/>
          <w:szCs w:val="72"/>
        </w:rPr>
        <w:t>DRAFT-V</w:t>
      </w:r>
      <w:r w:rsidR="00E65D96" w:rsidRPr="00E65D96">
        <w:rPr>
          <w:rFonts w:ascii="Arial" w:hAnsi="Arial" w:cs="Arial"/>
          <w:b/>
          <w:sz w:val="72"/>
          <w:szCs w:val="72"/>
        </w:rPr>
        <w:t xml:space="preserve">IREMENT </w:t>
      </w:r>
      <w:r>
        <w:rPr>
          <w:rFonts w:ascii="Arial" w:hAnsi="Arial" w:cs="Arial"/>
          <w:b/>
          <w:sz w:val="72"/>
          <w:szCs w:val="72"/>
        </w:rPr>
        <w:t xml:space="preserve">  </w:t>
      </w:r>
      <w:r w:rsidR="00E65D96" w:rsidRPr="00E65D96">
        <w:rPr>
          <w:rFonts w:ascii="Arial" w:hAnsi="Arial" w:cs="Arial"/>
          <w:b/>
          <w:sz w:val="72"/>
          <w:szCs w:val="72"/>
        </w:rPr>
        <w:t xml:space="preserve">POLICY </w:t>
      </w:r>
      <w:r w:rsidR="00E65D96">
        <w:rPr>
          <w:rFonts w:ascii="Arial" w:hAnsi="Arial" w:cs="Arial"/>
          <w:b/>
          <w:sz w:val="72"/>
          <w:szCs w:val="72"/>
        </w:rPr>
        <w:t xml:space="preserve"> </w:t>
      </w:r>
      <w:r w:rsidR="00E65D96" w:rsidRPr="00E65D96">
        <w:rPr>
          <w:rFonts w:ascii="Arial" w:hAnsi="Arial" w:cs="Arial"/>
          <w:b/>
          <w:sz w:val="72"/>
          <w:szCs w:val="72"/>
        </w:rPr>
        <w:t>202</w:t>
      </w:r>
      <w:r>
        <w:rPr>
          <w:rFonts w:ascii="Arial" w:hAnsi="Arial" w:cs="Arial"/>
          <w:b/>
          <w:sz w:val="72"/>
          <w:szCs w:val="72"/>
        </w:rPr>
        <w:t>5</w:t>
      </w:r>
      <w:r w:rsidR="00E65D96" w:rsidRPr="00E65D96">
        <w:rPr>
          <w:rFonts w:ascii="Arial" w:hAnsi="Arial" w:cs="Arial"/>
          <w:b/>
          <w:sz w:val="72"/>
          <w:szCs w:val="72"/>
        </w:rPr>
        <w:t>-2</w:t>
      </w:r>
      <w:r>
        <w:rPr>
          <w:rFonts w:ascii="Arial" w:hAnsi="Arial" w:cs="Arial"/>
          <w:b/>
          <w:sz w:val="72"/>
          <w:szCs w:val="72"/>
        </w:rPr>
        <w:t>6</w:t>
      </w:r>
    </w:p>
    <w:p w14:paraId="04881F26" w14:textId="77777777" w:rsidR="00E65D96" w:rsidRDefault="00E65D96"/>
    <w:p w14:paraId="16668260" w14:textId="77777777" w:rsidR="00032694" w:rsidRDefault="00032694"/>
    <w:sdt>
      <w:sdtPr>
        <w:rPr>
          <w:rFonts w:ascii="Arial" w:eastAsiaTheme="minorHAnsi" w:hAnsi="Arial" w:cs="Arial"/>
          <w:b/>
          <w:bCs/>
          <w:color w:val="auto"/>
          <w:sz w:val="24"/>
          <w:szCs w:val="24"/>
          <w:lang w:val="en-ZA"/>
        </w:rPr>
        <w:id w:val="-1850474264"/>
        <w:docPartObj>
          <w:docPartGallery w:val="Table of Contents"/>
          <w:docPartUnique/>
        </w:docPartObj>
      </w:sdtPr>
      <w:sdtEndPr>
        <w:rPr>
          <w:noProof/>
        </w:rPr>
      </w:sdtEndPr>
      <w:sdtContent>
        <w:p w14:paraId="75A45179" w14:textId="77777777" w:rsidR="004F5ED2" w:rsidRPr="00806B47" w:rsidRDefault="004F5ED2" w:rsidP="004F5ED2">
          <w:pPr>
            <w:pStyle w:val="TOCHeading"/>
            <w:jc w:val="center"/>
            <w:rPr>
              <w:rFonts w:ascii="Arial" w:hAnsi="Arial" w:cs="Arial"/>
              <w:b/>
              <w:bCs/>
              <w:sz w:val="24"/>
              <w:szCs w:val="24"/>
            </w:rPr>
          </w:pPr>
          <w:r w:rsidRPr="00806B47">
            <w:rPr>
              <w:rFonts w:ascii="Arial" w:hAnsi="Arial" w:cs="Arial"/>
              <w:b/>
              <w:bCs/>
              <w:sz w:val="24"/>
              <w:szCs w:val="24"/>
            </w:rPr>
            <w:t>Table of Contents</w:t>
          </w:r>
        </w:p>
        <w:p w14:paraId="3BD67C6E" w14:textId="77777777" w:rsidR="004F5ED2" w:rsidRPr="00806B47" w:rsidRDefault="004F5ED2" w:rsidP="004F5ED2">
          <w:pPr>
            <w:pStyle w:val="TOC1"/>
            <w:tabs>
              <w:tab w:val="right" w:leader="dot" w:pos="9038"/>
            </w:tabs>
            <w:rPr>
              <w:rFonts w:ascii="Arial" w:eastAsiaTheme="minorEastAsia" w:hAnsi="Arial" w:cs="Arial"/>
              <w:noProof/>
              <w:sz w:val="24"/>
              <w:szCs w:val="24"/>
              <w:lang w:eastAsia="en-ZA"/>
            </w:rPr>
          </w:pPr>
          <w:r w:rsidRPr="00806B47">
            <w:rPr>
              <w:rFonts w:ascii="Arial" w:hAnsi="Arial" w:cs="Arial"/>
              <w:sz w:val="24"/>
              <w:szCs w:val="24"/>
            </w:rPr>
            <w:fldChar w:fldCharType="begin"/>
          </w:r>
          <w:r w:rsidRPr="00806B47">
            <w:rPr>
              <w:rFonts w:ascii="Arial" w:hAnsi="Arial" w:cs="Arial"/>
              <w:sz w:val="24"/>
              <w:szCs w:val="24"/>
            </w:rPr>
            <w:instrText xml:space="preserve"> TOC \o "1-3" \h \z \u </w:instrText>
          </w:r>
          <w:r w:rsidRPr="00806B47">
            <w:rPr>
              <w:rFonts w:ascii="Arial" w:hAnsi="Arial" w:cs="Arial"/>
              <w:sz w:val="24"/>
              <w:szCs w:val="24"/>
            </w:rPr>
            <w:fldChar w:fldCharType="separate"/>
          </w:r>
        </w:p>
        <w:p w14:paraId="2E7049F9" w14:textId="35046607"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76" w:history="1">
            <w:r w:rsidRPr="00806B47">
              <w:rPr>
                <w:rStyle w:val="Hyperlink"/>
                <w:rFonts w:ascii="Arial" w:hAnsi="Arial" w:cs="Arial"/>
                <w:b/>
                <w:bCs/>
                <w:noProof/>
                <w:sz w:val="24"/>
                <w:szCs w:val="24"/>
              </w:rPr>
              <w:t>1.</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DEFINITIONS</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_Toc66441076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3</w:t>
            </w:r>
            <w:r w:rsidRPr="00806B47">
              <w:rPr>
                <w:rFonts w:ascii="Arial" w:hAnsi="Arial" w:cs="Arial"/>
                <w:noProof/>
                <w:webHidden/>
                <w:sz w:val="24"/>
                <w:szCs w:val="24"/>
              </w:rPr>
              <w:fldChar w:fldCharType="end"/>
            </w:r>
          </w:hyperlink>
        </w:p>
        <w:p w14:paraId="24D2B046" w14:textId="024F9409"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77" w:history="1">
            <w:r w:rsidRPr="00806B47">
              <w:rPr>
                <w:rStyle w:val="Hyperlink"/>
                <w:rFonts w:ascii="Arial" w:hAnsi="Arial" w:cs="Arial"/>
                <w:b/>
                <w:bCs/>
                <w:noProof/>
                <w:sz w:val="24"/>
                <w:szCs w:val="24"/>
              </w:rPr>
              <w:t>2.</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LEGISLATIVE FRAMEWORKS AND REGULATIONS</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_Toc66441077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8</w:t>
            </w:r>
            <w:r w:rsidRPr="00806B47">
              <w:rPr>
                <w:rFonts w:ascii="Arial" w:hAnsi="Arial" w:cs="Arial"/>
                <w:noProof/>
                <w:webHidden/>
                <w:sz w:val="24"/>
                <w:szCs w:val="24"/>
              </w:rPr>
              <w:fldChar w:fldCharType="end"/>
            </w:r>
          </w:hyperlink>
        </w:p>
        <w:p w14:paraId="41C1269A" w14:textId="03A54BBA"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78" w:history="1">
            <w:r w:rsidRPr="00806B47">
              <w:rPr>
                <w:rStyle w:val="Hyperlink"/>
                <w:rFonts w:ascii="Arial" w:hAnsi="Arial" w:cs="Arial"/>
                <w:b/>
                <w:bCs/>
                <w:noProof/>
                <w:sz w:val="24"/>
                <w:szCs w:val="24"/>
              </w:rPr>
              <w:t>3.</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LEGISLATIVE OBLIGATIONS FOR THE POLICY</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_Toc66441078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8</w:t>
            </w:r>
            <w:r w:rsidRPr="00806B47">
              <w:rPr>
                <w:rFonts w:ascii="Arial" w:hAnsi="Arial" w:cs="Arial"/>
                <w:noProof/>
                <w:webHidden/>
                <w:sz w:val="24"/>
                <w:szCs w:val="24"/>
              </w:rPr>
              <w:fldChar w:fldCharType="end"/>
            </w:r>
          </w:hyperlink>
        </w:p>
        <w:p w14:paraId="29F2AC20" w14:textId="57FBB115"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79" w:history="1">
            <w:r w:rsidRPr="00806B47">
              <w:rPr>
                <w:rStyle w:val="Hyperlink"/>
                <w:rFonts w:ascii="Arial" w:hAnsi="Arial" w:cs="Arial"/>
                <w:b/>
                <w:bCs/>
                <w:noProof/>
                <w:sz w:val="24"/>
                <w:szCs w:val="24"/>
              </w:rPr>
              <w:t>4.</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PURPOSE AND OBJECTIVES OF THE POLICY</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_Toc66441079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8</w:t>
            </w:r>
            <w:r w:rsidRPr="00806B47">
              <w:rPr>
                <w:rFonts w:ascii="Arial" w:hAnsi="Arial" w:cs="Arial"/>
                <w:noProof/>
                <w:webHidden/>
                <w:sz w:val="24"/>
                <w:szCs w:val="24"/>
              </w:rPr>
              <w:fldChar w:fldCharType="end"/>
            </w:r>
          </w:hyperlink>
        </w:p>
        <w:p w14:paraId="5DC21AB8" w14:textId="47FEC7A4"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80" w:history="1">
            <w:r w:rsidRPr="00806B47">
              <w:rPr>
                <w:rStyle w:val="Hyperlink"/>
                <w:rFonts w:ascii="Arial" w:hAnsi="Arial" w:cs="Arial"/>
                <w:b/>
                <w:bCs/>
                <w:noProof/>
                <w:sz w:val="24"/>
                <w:szCs w:val="24"/>
              </w:rPr>
              <w:t>5.</w:t>
            </w:r>
            <w:r w:rsidRPr="00806B47">
              <w:rPr>
                <w:rFonts w:ascii="Arial" w:eastAsiaTheme="minorEastAsia" w:hAnsi="Arial" w:cs="Arial"/>
                <w:noProof/>
                <w:sz w:val="24"/>
                <w:szCs w:val="24"/>
                <w:lang w:eastAsia="en-ZA"/>
              </w:rPr>
              <w:tab/>
            </w:r>
            <w:r w:rsidRPr="00806B47">
              <w:rPr>
                <w:rStyle w:val="Hyperlink"/>
                <w:rFonts w:ascii="Arial" w:eastAsiaTheme="majorEastAsia" w:hAnsi="Arial" w:cs="Arial"/>
                <w:b/>
                <w:bCs/>
                <w:noProof/>
                <w:sz w:val="24"/>
                <w:szCs w:val="24"/>
              </w:rPr>
              <w:t>VIREMENTS PERMISSIBLE</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_Toc66441080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9</w:t>
            </w:r>
            <w:r w:rsidRPr="00806B47">
              <w:rPr>
                <w:rFonts w:ascii="Arial" w:hAnsi="Arial" w:cs="Arial"/>
                <w:noProof/>
                <w:webHidden/>
                <w:sz w:val="24"/>
                <w:szCs w:val="24"/>
              </w:rPr>
              <w:fldChar w:fldCharType="end"/>
            </w:r>
          </w:hyperlink>
        </w:p>
        <w:p w14:paraId="7A87EF8A" w14:textId="1F34AE68"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81" w:history="1">
            <w:r w:rsidRPr="00806B47">
              <w:rPr>
                <w:rStyle w:val="Hyperlink"/>
                <w:rFonts w:ascii="Arial" w:hAnsi="Arial" w:cs="Arial"/>
                <w:b/>
                <w:bCs/>
                <w:noProof/>
                <w:sz w:val="24"/>
                <w:szCs w:val="24"/>
              </w:rPr>
              <w:t>6.</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VIREMENT PRINCIPLES</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_Toc66441081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9</w:t>
            </w:r>
            <w:r w:rsidRPr="00806B47">
              <w:rPr>
                <w:rFonts w:ascii="Arial" w:hAnsi="Arial" w:cs="Arial"/>
                <w:noProof/>
                <w:webHidden/>
                <w:sz w:val="24"/>
                <w:szCs w:val="24"/>
              </w:rPr>
              <w:fldChar w:fldCharType="end"/>
            </w:r>
          </w:hyperlink>
        </w:p>
        <w:p w14:paraId="4BFD7426" w14:textId="6130742D"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82" w:history="1">
            <w:r w:rsidRPr="00806B47">
              <w:rPr>
                <w:rStyle w:val="Hyperlink"/>
                <w:rFonts w:ascii="Arial" w:hAnsi="Arial" w:cs="Arial"/>
                <w:b/>
                <w:bCs/>
                <w:noProof/>
                <w:sz w:val="24"/>
                <w:szCs w:val="24"/>
              </w:rPr>
              <w:t>7.</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THE VIREMENT PROCESS</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_Toc66441082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11</w:t>
            </w:r>
            <w:r w:rsidRPr="00806B47">
              <w:rPr>
                <w:rFonts w:ascii="Arial" w:hAnsi="Arial" w:cs="Arial"/>
                <w:noProof/>
                <w:webHidden/>
                <w:sz w:val="24"/>
                <w:szCs w:val="24"/>
              </w:rPr>
              <w:fldChar w:fldCharType="end"/>
            </w:r>
          </w:hyperlink>
        </w:p>
        <w:p w14:paraId="555DA8C0" w14:textId="7E70A111"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83" w:history="1">
            <w:r w:rsidRPr="00806B47">
              <w:rPr>
                <w:rStyle w:val="Hyperlink"/>
                <w:rFonts w:ascii="Arial" w:hAnsi="Arial" w:cs="Arial"/>
                <w:b/>
                <w:bCs/>
                <w:noProof/>
                <w:sz w:val="24"/>
                <w:szCs w:val="24"/>
              </w:rPr>
              <w:t>8.</w:t>
            </w:r>
            <w:r w:rsidRPr="00806B47">
              <w:rPr>
                <w:rFonts w:ascii="Arial" w:eastAsiaTheme="minorEastAsia" w:hAnsi="Arial" w:cs="Arial"/>
                <w:noProof/>
                <w:sz w:val="24"/>
                <w:szCs w:val="24"/>
                <w:lang w:eastAsia="en-ZA"/>
              </w:rPr>
              <w:tab/>
            </w:r>
            <w:r w:rsidRPr="00806B47">
              <w:rPr>
                <w:rStyle w:val="Hyperlink"/>
                <w:rFonts w:ascii="Arial" w:eastAsiaTheme="majorEastAsia" w:hAnsi="Arial" w:cs="Arial"/>
                <w:b/>
                <w:bCs/>
                <w:noProof/>
                <w:sz w:val="24"/>
                <w:szCs w:val="24"/>
              </w:rPr>
              <w:t>FINANCIAL RESPONSIBILITY</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_Toc66441083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12</w:t>
            </w:r>
            <w:r w:rsidRPr="00806B47">
              <w:rPr>
                <w:rFonts w:ascii="Arial" w:hAnsi="Arial" w:cs="Arial"/>
                <w:noProof/>
                <w:webHidden/>
                <w:sz w:val="24"/>
                <w:szCs w:val="24"/>
              </w:rPr>
              <w:fldChar w:fldCharType="end"/>
            </w:r>
          </w:hyperlink>
        </w:p>
        <w:p w14:paraId="051FAA84" w14:textId="495EF0CC" w:rsidR="004F5ED2" w:rsidRPr="00806B47" w:rsidRDefault="004F5ED2" w:rsidP="004F5ED2">
          <w:pPr>
            <w:pStyle w:val="TOC1"/>
            <w:tabs>
              <w:tab w:val="left" w:pos="440"/>
              <w:tab w:val="right" w:leader="dot" w:pos="9038"/>
            </w:tabs>
            <w:rPr>
              <w:rFonts w:ascii="Arial" w:eastAsiaTheme="minorEastAsia" w:hAnsi="Arial" w:cs="Arial"/>
              <w:noProof/>
              <w:sz w:val="24"/>
              <w:szCs w:val="24"/>
              <w:lang w:eastAsia="en-ZA"/>
            </w:rPr>
          </w:pPr>
          <w:hyperlink w:anchor="_Toc66441084" w:history="1">
            <w:r w:rsidRPr="00806B47">
              <w:rPr>
                <w:rStyle w:val="Hyperlink"/>
                <w:rFonts w:ascii="Arial" w:hAnsi="Arial" w:cs="Arial"/>
                <w:b/>
                <w:bCs/>
                <w:noProof/>
                <w:sz w:val="24"/>
                <w:szCs w:val="24"/>
              </w:rPr>
              <w:t>9.</w:t>
            </w:r>
            <w:r w:rsidRPr="00806B47">
              <w:rPr>
                <w:rFonts w:ascii="Arial" w:eastAsiaTheme="minorEastAsia" w:hAnsi="Arial" w:cs="Arial"/>
                <w:noProof/>
                <w:sz w:val="24"/>
                <w:szCs w:val="24"/>
                <w:lang w:eastAsia="en-ZA"/>
              </w:rPr>
              <w:tab/>
            </w:r>
            <w:r w:rsidRPr="00806B47">
              <w:rPr>
                <w:rStyle w:val="Hyperlink"/>
                <w:rFonts w:ascii="Arial" w:eastAsiaTheme="majorEastAsia" w:hAnsi="Arial" w:cs="Arial"/>
                <w:b/>
                <w:bCs/>
                <w:noProof/>
                <w:sz w:val="24"/>
                <w:szCs w:val="24"/>
              </w:rPr>
              <w:t>REPORTING</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_Toc66441084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12</w:t>
            </w:r>
            <w:r w:rsidRPr="00806B47">
              <w:rPr>
                <w:rFonts w:ascii="Arial" w:hAnsi="Arial" w:cs="Arial"/>
                <w:noProof/>
                <w:webHidden/>
                <w:sz w:val="24"/>
                <w:szCs w:val="24"/>
              </w:rPr>
              <w:fldChar w:fldCharType="end"/>
            </w:r>
          </w:hyperlink>
        </w:p>
        <w:p w14:paraId="2ADD387C" w14:textId="2F59E207" w:rsidR="004F5ED2" w:rsidRPr="00806B47" w:rsidRDefault="004F5ED2" w:rsidP="004F5ED2">
          <w:pPr>
            <w:pStyle w:val="TOC1"/>
            <w:tabs>
              <w:tab w:val="left" w:pos="426"/>
              <w:tab w:val="right" w:leader="dot" w:pos="9038"/>
            </w:tabs>
            <w:rPr>
              <w:rFonts w:ascii="Arial" w:eastAsiaTheme="minorEastAsia" w:hAnsi="Arial" w:cs="Arial"/>
              <w:noProof/>
              <w:sz w:val="24"/>
              <w:szCs w:val="24"/>
              <w:lang w:eastAsia="en-ZA"/>
            </w:rPr>
          </w:pPr>
          <w:hyperlink w:anchor="_Toc66441085" w:history="1">
            <w:r w:rsidRPr="00806B47">
              <w:rPr>
                <w:rStyle w:val="Hyperlink"/>
                <w:rFonts w:ascii="Arial" w:hAnsi="Arial" w:cs="Arial"/>
                <w:b/>
                <w:bCs/>
                <w:noProof/>
                <w:sz w:val="24"/>
                <w:szCs w:val="24"/>
              </w:rPr>
              <w:t>10.</w:t>
            </w:r>
            <w:r w:rsidRPr="00806B47">
              <w:rPr>
                <w:rFonts w:ascii="Arial" w:eastAsiaTheme="minorEastAsia" w:hAnsi="Arial" w:cs="Arial"/>
                <w:noProof/>
                <w:sz w:val="24"/>
                <w:szCs w:val="24"/>
                <w:lang w:eastAsia="en-ZA"/>
              </w:rPr>
              <w:tab/>
            </w:r>
            <w:r w:rsidRPr="00806B47">
              <w:rPr>
                <w:rStyle w:val="Hyperlink"/>
                <w:rFonts w:ascii="Arial" w:eastAsiaTheme="majorEastAsia" w:hAnsi="Arial" w:cs="Arial"/>
                <w:b/>
                <w:bCs/>
                <w:noProof/>
                <w:sz w:val="24"/>
                <w:szCs w:val="24"/>
              </w:rPr>
              <w:t>POLICY REVIEW</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_Toc66441085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13</w:t>
            </w:r>
            <w:r w:rsidRPr="00806B47">
              <w:rPr>
                <w:rFonts w:ascii="Arial" w:hAnsi="Arial" w:cs="Arial"/>
                <w:noProof/>
                <w:webHidden/>
                <w:sz w:val="24"/>
                <w:szCs w:val="24"/>
              </w:rPr>
              <w:fldChar w:fldCharType="end"/>
            </w:r>
          </w:hyperlink>
        </w:p>
        <w:p w14:paraId="03CCBF2C" w14:textId="2448BD57" w:rsidR="004F5ED2" w:rsidRPr="00806B47" w:rsidRDefault="004F5ED2" w:rsidP="004F5ED2">
          <w:pPr>
            <w:pStyle w:val="TOC1"/>
            <w:tabs>
              <w:tab w:val="left" w:pos="426"/>
              <w:tab w:val="right" w:leader="dot" w:pos="9038"/>
            </w:tabs>
            <w:rPr>
              <w:rFonts w:ascii="Arial" w:eastAsiaTheme="minorEastAsia" w:hAnsi="Arial" w:cs="Arial"/>
              <w:noProof/>
              <w:sz w:val="24"/>
              <w:szCs w:val="24"/>
              <w:lang w:eastAsia="en-ZA"/>
            </w:rPr>
          </w:pPr>
          <w:hyperlink w:anchor="_Toc66441086" w:history="1">
            <w:r w:rsidRPr="00806B47">
              <w:rPr>
                <w:rStyle w:val="Hyperlink"/>
                <w:rFonts w:ascii="Arial" w:hAnsi="Arial" w:cs="Arial"/>
                <w:b/>
                <w:bCs/>
                <w:noProof/>
                <w:sz w:val="24"/>
                <w:szCs w:val="24"/>
              </w:rPr>
              <w:t>11.</w:t>
            </w:r>
            <w:r w:rsidRPr="00806B47">
              <w:rPr>
                <w:rFonts w:ascii="Arial" w:eastAsiaTheme="minorEastAsia" w:hAnsi="Arial" w:cs="Arial"/>
                <w:noProof/>
                <w:sz w:val="24"/>
                <w:szCs w:val="24"/>
                <w:lang w:eastAsia="en-ZA"/>
              </w:rPr>
              <w:tab/>
            </w:r>
            <w:r w:rsidRPr="00806B47">
              <w:rPr>
                <w:rStyle w:val="Hyperlink"/>
                <w:rFonts w:ascii="Arial" w:hAnsi="Arial" w:cs="Arial"/>
                <w:b/>
                <w:bCs/>
                <w:noProof/>
                <w:sz w:val="24"/>
                <w:szCs w:val="24"/>
              </w:rPr>
              <w:t>POLICY ADOPTION</w:t>
            </w:r>
            <w:r w:rsidRPr="00806B47">
              <w:rPr>
                <w:rFonts w:ascii="Arial" w:hAnsi="Arial" w:cs="Arial"/>
                <w:noProof/>
                <w:webHidden/>
                <w:sz w:val="24"/>
                <w:szCs w:val="24"/>
              </w:rPr>
              <w:tab/>
            </w:r>
            <w:r w:rsidRPr="00806B47">
              <w:rPr>
                <w:rFonts w:ascii="Arial" w:hAnsi="Arial" w:cs="Arial"/>
                <w:noProof/>
                <w:webHidden/>
                <w:sz w:val="24"/>
                <w:szCs w:val="24"/>
              </w:rPr>
              <w:fldChar w:fldCharType="begin"/>
            </w:r>
            <w:r w:rsidRPr="00806B47">
              <w:rPr>
                <w:rFonts w:ascii="Arial" w:hAnsi="Arial" w:cs="Arial"/>
                <w:noProof/>
                <w:webHidden/>
                <w:sz w:val="24"/>
                <w:szCs w:val="24"/>
              </w:rPr>
              <w:instrText xml:space="preserve"> PAGEREF _Toc66441086 \h </w:instrText>
            </w:r>
            <w:r w:rsidRPr="00806B47">
              <w:rPr>
                <w:rFonts w:ascii="Arial" w:hAnsi="Arial" w:cs="Arial"/>
                <w:noProof/>
                <w:webHidden/>
                <w:sz w:val="24"/>
                <w:szCs w:val="24"/>
              </w:rPr>
            </w:r>
            <w:r w:rsidRPr="00806B47">
              <w:rPr>
                <w:rFonts w:ascii="Arial" w:hAnsi="Arial" w:cs="Arial"/>
                <w:noProof/>
                <w:webHidden/>
                <w:sz w:val="24"/>
                <w:szCs w:val="24"/>
              </w:rPr>
              <w:fldChar w:fldCharType="separate"/>
            </w:r>
            <w:r w:rsidR="00E65D96">
              <w:rPr>
                <w:rFonts w:ascii="Arial" w:hAnsi="Arial" w:cs="Arial"/>
                <w:noProof/>
                <w:webHidden/>
                <w:sz w:val="24"/>
                <w:szCs w:val="24"/>
              </w:rPr>
              <w:t>13</w:t>
            </w:r>
            <w:r w:rsidRPr="00806B47">
              <w:rPr>
                <w:rFonts w:ascii="Arial" w:hAnsi="Arial" w:cs="Arial"/>
                <w:noProof/>
                <w:webHidden/>
                <w:sz w:val="24"/>
                <w:szCs w:val="24"/>
              </w:rPr>
              <w:fldChar w:fldCharType="end"/>
            </w:r>
          </w:hyperlink>
        </w:p>
        <w:p w14:paraId="60CEB175" w14:textId="77777777" w:rsidR="004F5ED2" w:rsidRPr="00806B47" w:rsidRDefault="004F5ED2" w:rsidP="004F5ED2">
          <w:pPr>
            <w:rPr>
              <w:rFonts w:ascii="Arial" w:hAnsi="Arial" w:cs="Arial"/>
              <w:sz w:val="24"/>
              <w:szCs w:val="24"/>
            </w:rPr>
          </w:pPr>
          <w:r w:rsidRPr="00806B47">
            <w:rPr>
              <w:rFonts w:ascii="Arial" w:hAnsi="Arial" w:cs="Arial"/>
              <w:b/>
              <w:bCs/>
              <w:noProof/>
              <w:sz w:val="24"/>
              <w:szCs w:val="24"/>
            </w:rPr>
            <w:fldChar w:fldCharType="end"/>
          </w:r>
        </w:p>
      </w:sdtContent>
    </w:sdt>
    <w:p w14:paraId="747AB15D" w14:textId="77777777" w:rsidR="004F5ED2" w:rsidRPr="00806B47" w:rsidRDefault="004F5ED2" w:rsidP="004F5ED2">
      <w:pPr>
        <w:rPr>
          <w:rFonts w:ascii="Arial" w:hAnsi="Arial" w:cs="Arial"/>
          <w:sz w:val="24"/>
          <w:szCs w:val="24"/>
        </w:rPr>
      </w:pPr>
    </w:p>
    <w:p w14:paraId="21F33127" w14:textId="77777777" w:rsidR="004F5ED2" w:rsidRPr="00806B47" w:rsidRDefault="004F5ED2" w:rsidP="004F5ED2">
      <w:pPr>
        <w:rPr>
          <w:rFonts w:ascii="Arial" w:hAnsi="Arial" w:cs="Arial"/>
          <w:sz w:val="24"/>
          <w:szCs w:val="24"/>
        </w:rPr>
      </w:pPr>
    </w:p>
    <w:p w14:paraId="09B15C18" w14:textId="77777777" w:rsidR="004F5ED2" w:rsidRPr="00806B47" w:rsidRDefault="004F5ED2" w:rsidP="004F5ED2">
      <w:pPr>
        <w:rPr>
          <w:rFonts w:ascii="Arial" w:hAnsi="Arial" w:cs="Arial"/>
          <w:sz w:val="24"/>
          <w:szCs w:val="24"/>
        </w:rPr>
      </w:pPr>
    </w:p>
    <w:p w14:paraId="7426BDA9" w14:textId="77777777" w:rsidR="004F5ED2" w:rsidRPr="00806B47" w:rsidRDefault="004F5ED2" w:rsidP="004F5ED2">
      <w:pPr>
        <w:rPr>
          <w:rFonts w:ascii="Arial" w:hAnsi="Arial" w:cs="Arial"/>
          <w:sz w:val="24"/>
          <w:szCs w:val="24"/>
        </w:rPr>
      </w:pPr>
    </w:p>
    <w:p w14:paraId="0D46FE66" w14:textId="77777777" w:rsidR="004F5ED2" w:rsidRPr="00806B47" w:rsidRDefault="004F5ED2" w:rsidP="004F5ED2">
      <w:pPr>
        <w:rPr>
          <w:rFonts w:ascii="Arial" w:hAnsi="Arial" w:cs="Arial"/>
          <w:sz w:val="24"/>
          <w:szCs w:val="24"/>
        </w:rPr>
      </w:pPr>
    </w:p>
    <w:p w14:paraId="779A4839" w14:textId="77777777" w:rsidR="004F5ED2" w:rsidRPr="00806B47" w:rsidRDefault="004F5ED2" w:rsidP="004F5ED2">
      <w:pPr>
        <w:rPr>
          <w:rFonts w:ascii="Arial" w:hAnsi="Arial" w:cs="Arial"/>
          <w:sz w:val="24"/>
          <w:szCs w:val="24"/>
        </w:rPr>
      </w:pPr>
    </w:p>
    <w:p w14:paraId="74D1A33F" w14:textId="77777777" w:rsidR="004F5ED2" w:rsidRPr="00806B47" w:rsidRDefault="004F5ED2" w:rsidP="004F5ED2">
      <w:pPr>
        <w:rPr>
          <w:rFonts w:ascii="Arial" w:hAnsi="Arial" w:cs="Arial"/>
          <w:sz w:val="24"/>
          <w:szCs w:val="24"/>
        </w:rPr>
      </w:pPr>
    </w:p>
    <w:p w14:paraId="2970A17F" w14:textId="77777777" w:rsidR="004F5ED2" w:rsidRPr="00806B47" w:rsidRDefault="004F5ED2" w:rsidP="004F5ED2">
      <w:pPr>
        <w:rPr>
          <w:rFonts w:ascii="Arial" w:hAnsi="Arial" w:cs="Arial"/>
          <w:sz w:val="24"/>
          <w:szCs w:val="24"/>
        </w:rPr>
      </w:pPr>
    </w:p>
    <w:p w14:paraId="60F0577B" w14:textId="77777777" w:rsidR="004F5ED2" w:rsidRPr="00806B47" w:rsidRDefault="004F5ED2" w:rsidP="004F5ED2">
      <w:pPr>
        <w:rPr>
          <w:rFonts w:ascii="Arial" w:hAnsi="Arial" w:cs="Arial"/>
          <w:sz w:val="24"/>
          <w:szCs w:val="24"/>
        </w:rPr>
      </w:pPr>
    </w:p>
    <w:p w14:paraId="7F58FB6C" w14:textId="77777777" w:rsidR="004F5ED2" w:rsidRPr="00806B47" w:rsidRDefault="004F5ED2" w:rsidP="004F5ED2">
      <w:pPr>
        <w:rPr>
          <w:rFonts w:ascii="Arial" w:hAnsi="Arial" w:cs="Arial"/>
          <w:sz w:val="24"/>
          <w:szCs w:val="24"/>
        </w:rPr>
      </w:pPr>
    </w:p>
    <w:p w14:paraId="13B2541A" w14:textId="77777777" w:rsidR="004F5ED2" w:rsidRPr="00806B47" w:rsidRDefault="004F5ED2" w:rsidP="004F5ED2">
      <w:pPr>
        <w:rPr>
          <w:rFonts w:ascii="Arial" w:hAnsi="Arial" w:cs="Arial"/>
          <w:sz w:val="24"/>
          <w:szCs w:val="24"/>
        </w:rPr>
      </w:pPr>
    </w:p>
    <w:p w14:paraId="3B511248" w14:textId="77777777" w:rsidR="004F5ED2" w:rsidRPr="00806B47" w:rsidRDefault="004F5ED2" w:rsidP="004F5ED2">
      <w:pPr>
        <w:rPr>
          <w:rFonts w:ascii="Arial" w:hAnsi="Arial" w:cs="Arial"/>
          <w:sz w:val="24"/>
          <w:szCs w:val="24"/>
        </w:rPr>
      </w:pPr>
    </w:p>
    <w:p w14:paraId="30372DC6" w14:textId="77777777" w:rsidR="004F5ED2" w:rsidRPr="00806B47" w:rsidRDefault="004F5ED2" w:rsidP="004F5ED2">
      <w:pPr>
        <w:rPr>
          <w:rFonts w:ascii="Arial" w:hAnsi="Arial" w:cs="Arial"/>
          <w:sz w:val="24"/>
          <w:szCs w:val="24"/>
        </w:rPr>
      </w:pPr>
    </w:p>
    <w:p w14:paraId="4FE3C1B2" w14:textId="77777777" w:rsidR="004F5ED2" w:rsidRPr="00806B47" w:rsidRDefault="004F5ED2" w:rsidP="004F5ED2">
      <w:pPr>
        <w:rPr>
          <w:rFonts w:ascii="Arial" w:hAnsi="Arial" w:cs="Arial"/>
          <w:sz w:val="24"/>
          <w:szCs w:val="24"/>
        </w:rPr>
      </w:pPr>
    </w:p>
    <w:p w14:paraId="6F8AAF6A" w14:textId="77777777" w:rsidR="004F5ED2" w:rsidRPr="00806B47" w:rsidRDefault="004F5ED2" w:rsidP="004F5ED2">
      <w:pPr>
        <w:rPr>
          <w:rFonts w:ascii="Arial" w:hAnsi="Arial" w:cs="Arial"/>
          <w:sz w:val="24"/>
          <w:szCs w:val="24"/>
        </w:rPr>
      </w:pPr>
    </w:p>
    <w:p w14:paraId="367868F9" w14:textId="77777777" w:rsidR="004F5ED2" w:rsidRPr="00806B47" w:rsidRDefault="004F5ED2" w:rsidP="004F5ED2">
      <w:pPr>
        <w:rPr>
          <w:rFonts w:ascii="Arial" w:hAnsi="Arial" w:cs="Arial"/>
          <w:sz w:val="24"/>
          <w:szCs w:val="24"/>
        </w:rPr>
      </w:pPr>
    </w:p>
    <w:p w14:paraId="445FEED9" w14:textId="77777777" w:rsidR="004F5ED2" w:rsidRPr="00806B47" w:rsidRDefault="004F5ED2" w:rsidP="004F5ED2">
      <w:pPr>
        <w:pStyle w:val="Heading1"/>
        <w:numPr>
          <w:ilvl w:val="0"/>
          <w:numId w:val="16"/>
        </w:numPr>
        <w:spacing w:before="0" w:line="276" w:lineRule="auto"/>
        <w:ind w:left="567" w:hanging="567"/>
        <w:jc w:val="both"/>
        <w:rPr>
          <w:rFonts w:ascii="Arial" w:hAnsi="Arial" w:cs="Arial"/>
          <w:b/>
          <w:bCs/>
          <w:sz w:val="24"/>
          <w:szCs w:val="24"/>
        </w:rPr>
      </w:pPr>
      <w:bookmarkStart w:id="0" w:name="_Toc66441076"/>
      <w:r w:rsidRPr="00806B47">
        <w:rPr>
          <w:rFonts w:ascii="Arial" w:hAnsi="Arial" w:cs="Arial"/>
          <w:b/>
          <w:bCs/>
          <w:sz w:val="24"/>
          <w:szCs w:val="24"/>
        </w:rPr>
        <w:t>DEFINITIONS</w:t>
      </w:r>
      <w:bookmarkEnd w:id="0"/>
    </w:p>
    <w:p w14:paraId="2F5AE53B" w14:textId="77777777" w:rsidR="004F5ED2" w:rsidRPr="00806B47" w:rsidRDefault="004F5ED2" w:rsidP="004F5ED2">
      <w:pPr>
        <w:spacing w:after="0" w:line="276" w:lineRule="auto"/>
        <w:jc w:val="both"/>
        <w:rPr>
          <w:rFonts w:ascii="Arial" w:hAnsi="Arial" w:cs="Arial"/>
          <w:sz w:val="24"/>
          <w:szCs w:val="24"/>
        </w:rPr>
      </w:pPr>
    </w:p>
    <w:p w14:paraId="4D18DF93"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 xml:space="preserve">“Accounting Officer” means the person appointed by the Municipal Council as the </w:t>
      </w:r>
      <w:r w:rsidRPr="00806B47">
        <w:rPr>
          <w:rFonts w:ascii="Arial" w:hAnsi="Arial" w:cs="Arial"/>
          <w:spacing w:val="-4"/>
          <w:sz w:val="24"/>
          <w:szCs w:val="24"/>
        </w:rPr>
        <w:lastRenderedPageBreak/>
        <w:t>Accounting Officer for the municipality in terms of section 82 of the Local Government Municipal Structures Act, 1998 (Act No. 117 of 1998) and includes any person to whom the Accounting Officer has delegated a power, function or duty in respect of such a delegated power, function or duty.</w:t>
      </w:r>
    </w:p>
    <w:p w14:paraId="4E45EDC2" w14:textId="77777777" w:rsidR="004F5ED2" w:rsidRPr="00806B47" w:rsidRDefault="004F5ED2" w:rsidP="004F5ED2">
      <w:pPr>
        <w:pStyle w:val="ListParagraph"/>
        <w:widowControl w:val="0"/>
        <w:autoSpaceDE w:val="0"/>
        <w:autoSpaceDN w:val="0"/>
        <w:adjustRightInd w:val="0"/>
        <w:spacing w:after="0" w:line="276" w:lineRule="auto"/>
        <w:ind w:left="564"/>
        <w:jc w:val="both"/>
        <w:rPr>
          <w:rFonts w:ascii="Arial" w:hAnsi="Arial" w:cs="Arial"/>
          <w:spacing w:val="-4"/>
          <w:sz w:val="24"/>
          <w:szCs w:val="24"/>
        </w:rPr>
      </w:pPr>
    </w:p>
    <w:p w14:paraId="6BBEFFC5"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“Allocation” means a municipality’s share of the local government’s equitable share referred to in section 214(1)(a) of the Constitution; an allocation of money to a municipality in terms of section 214(1)(c) of the Constitution; an allocation of money to a municipality in terms of a provincial budget; or any other allocation of money to a municipality by an organ of state, including by another municipality, otherwise than in compliance with a commercial or other business transaction.</w:t>
      </w:r>
    </w:p>
    <w:p w14:paraId="19670FAC"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21D0EA91"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‘‘Annual Division of Revenue Act’’ means the Act of Parliament which must be enacted annually in terms of section 214 (1) of the Constitution.</w:t>
      </w:r>
    </w:p>
    <w:p w14:paraId="66C36F2D" w14:textId="77777777" w:rsidR="004F5ED2" w:rsidRPr="00806B47" w:rsidRDefault="004F5ED2" w:rsidP="004F5ED2">
      <w:pPr>
        <w:pStyle w:val="ListParagraph"/>
        <w:widowControl w:val="0"/>
        <w:autoSpaceDE w:val="0"/>
        <w:autoSpaceDN w:val="0"/>
        <w:adjustRightInd w:val="0"/>
        <w:spacing w:after="0" w:line="276" w:lineRule="auto"/>
        <w:ind w:left="564"/>
        <w:jc w:val="both"/>
        <w:rPr>
          <w:rFonts w:ascii="Arial" w:hAnsi="Arial" w:cs="Arial"/>
          <w:spacing w:val="-4"/>
          <w:sz w:val="24"/>
          <w:szCs w:val="24"/>
        </w:rPr>
      </w:pPr>
    </w:p>
    <w:p w14:paraId="728CFB85"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‘‘Approved budget’’ means an annual budget approved by a municipal council; or approved by a provincial or the national executive following an intervention in terms of section 139 of the Constitution, and includes such an annual budget as revised by an adjustments budget in terms of section 28.</w:t>
      </w:r>
    </w:p>
    <w:p w14:paraId="259A05EB"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20E1D1BA"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‘‘Basic municipal service’’ means a municipal service that is necessary to ensure an acceptable and reasonable quality of life and which, if not provided, would endanger public health or safety or the environment.</w:t>
      </w:r>
    </w:p>
    <w:p w14:paraId="12379FBE"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7AF80753"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“Budget Steering Committee” means the committee that is established in terms of Budget and Reporting Regulation 4(1) to provide technical assistance to the Mayor in discharging the responsibilities set out in section 53 of the MFMA.</w:t>
      </w:r>
    </w:p>
    <w:p w14:paraId="183DEA0D"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1A48A19B"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‘‘Budget-related policy’’ means a policy of a municipality affecting or affected by the annual budget of the municipality, including the tariffs policy which the municipality must adopt in terms of section 74 of the Municipal Systems Act; the rates policy which the municipality must adopt in terms of legislation regulating municipal property rates; or the credit control and debt collection policy which the municipality must adopt in terms of section 96 of the Municipal Systems Act.</w:t>
      </w:r>
    </w:p>
    <w:p w14:paraId="6F6C8994"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31E6DD8A"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‘‘Budget year’’ means the financial year for which an annual budget is to be approved in terms of section 16(1).</w:t>
      </w:r>
    </w:p>
    <w:p w14:paraId="00CDCAD5"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71EAFCBB"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“Capital expenditure” where used alone shall mean the same as asset, for example capital expenditure shall refer to expenses incurred to create an asset or assets in terms of Generally Recognised Accounting Practice.</w:t>
      </w:r>
    </w:p>
    <w:p w14:paraId="5EEE8A58"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003E3374"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“Capital Project” means capital project as defined in terms of the mSCOA project segment.</w:t>
      </w:r>
    </w:p>
    <w:p w14:paraId="6D48A8AD" w14:textId="77777777" w:rsidR="004F5ED2" w:rsidRPr="00806B47" w:rsidRDefault="004F5ED2" w:rsidP="004F5ED2">
      <w:pPr>
        <w:pStyle w:val="ListParagraph"/>
        <w:rPr>
          <w:rFonts w:ascii="Arial" w:hAnsi="Arial" w:cs="Arial"/>
          <w:spacing w:val="-4"/>
          <w:sz w:val="24"/>
          <w:szCs w:val="24"/>
        </w:rPr>
      </w:pPr>
    </w:p>
    <w:p w14:paraId="177BF641"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 xml:space="preserve">“Capital budget” means the estimated amount for capital items in a given financial period. </w:t>
      </w:r>
    </w:p>
    <w:p w14:paraId="09A2D1CA" w14:textId="77777777" w:rsidR="004F5ED2" w:rsidRPr="00806B47" w:rsidRDefault="004F5ED2" w:rsidP="004F5ED2">
      <w:pPr>
        <w:pStyle w:val="ListParagraph"/>
        <w:rPr>
          <w:rFonts w:ascii="Arial" w:hAnsi="Arial" w:cs="Arial"/>
          <w:spacing w:val="-4"/>
          <w:sz w:val="24"/>
          <w:szCs w:val="24"/>
        </w:rPr>
      </w:pPr>
    </w:p>
    <w:p w14:paraId="4656F25F"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“Capital items” means fixed assets such as Property, Plant and Equipment, the cost of which is normally written off over a number of financial periods.</w:t>
      </w:r>
    </w:p>
    <w:p w14:paraId="109D0500"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72D58659"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“Chief Financial Officer” shall mean the head of the Financial Services Department as contemplated in sec 80 of the MFMA.</w:t>
      </w:r>
    </w:p>
    <w:p w14:paraId="048FEAC3"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202DFA02"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“Council” shall mean the Council of the municipality, any committee or person to which or to whom an instruction has been given or any power has been delegated or sub-delegated in terms of, or as contemplated in, section 59 of the Local Government: Municipal Systems Act, 2000 or a service provider in respect of any power, function or duty of the Council.</w:t>
      </w:r>
    </w:p>
    <w:p w14:paraId="1EDCD6ED" w14:textId="77777777" w:rsidR="004F5ED2" w:rsidRPr="00806B47" w:rsidRDefault="004F5ED2" w:rsidP="004F5ED2">
      <w:pPr>
        <w:pStyle w:val="ListParagraph"/>
        <w:rPr>
          <w:rFonts w:ascii="Arial" w:hAnsi="Arial" w:cs="Arial"/>
          <w:spacing w:val="-4"/>
          <w:sz w:val="24"/>
          <w:szCs w:val="24"/>
        </w:rPr>
      </w:pPr>
    </w:p>
    <w:p w14:paraId="192DFE6B"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“Delegation” in relation to a duty, includes an instruction to perform the duty</w:t>
      </w:r>
    </w:p>
    <w:p w14:paraId="14860AD1"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7559B363"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“Data string” shall mean the total budget line which includes all seven segments as prescribed in terms the Municipal Regulation on Standard Chart of Accounts.</w:t>
      </w:r>
    </w:p>
    <w:p w14:paraId="0D43D767"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7EAB3666"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“Financial year” shall mean the period from 1 July until 30 June of the next year</w:t>
      </w:r>
    </w:p>
    <w:p w14:paraId="0952D8CD"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4A53D9C2"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‘‘Fruitless and wasteful expenditure’’ means expenditure that was made in vain and would have been avoided had reasonable care been exercised.</w:t>
      </w:r>
    </w:p>
    <w:p w14:paraId="0DD5C48A"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5CE1AC89"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“Function” in terms of mSCOA is the municipal function as per Schedule 4B and 5B of the Constitution.</w:t>
      </w:r>
    </w:p>
    <w:p w14:paraId="58A4EBC5" w14:textId="77777777" w:rsidR="004F5ED2" w:rsidRPr="00806B47" w:rsidRDefault="004F5ED2" w:rsidP="004F5ED2">
      <w:pPr>
        <w:pStyle w:val="ListParagraph"/>
        <w:spacing w:after="0" w:line="276" w:lineRule="auto"/>
        <w:ind w:left="567"/>
        <w:jc w:val="both"/>
        <w:rPr>
          <w:rFonts w:ascii="Arial" w:hAnsi="Arial" w:cs="Arial"/>
          <w:spacing w:val="-4"/>
          <w:sz w:val="24"/>
          <w:szCs w:val="24"/>
        </w:rPr>
      </w:pPr>
    </w:p>
    <w:p w14:paraId="49F5C2E7"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“Funding Segment” refers to the segment that identifies the various sources of funding available to municipalities and municipal entities for financing expenditure relating to the operation of the municipality and provides for both capital and operational spending. The appropriate classification of a transaction in this segment will be determined according to the source of funding against which a payment is allocated and the source of revenue against which income is received</w:t>
      </w:r>
    </w:p>
    <w:p w14:paraId="7442E5B1" w14:textId="77777777" w:rsidR="004F5ED2" w:rsidRPr="00806B47" w:rsidRDefault="004F5ED2" w:rsidP="004F5ED2">
      <w:pPr>
        <w:widowControl w:val="0"/>
        <w:autoSpaceDE w:val="0"/>
        <w:autoSpaceDN w:val="0"/>
        <w:adjustRightInd w:val="0"/>
        <w:spacing w:after="0" w:line="276" w:lineRule="auto"/>
        <w:jc w:val="both"/>
        <w:rPr>
          <w:rFonts w:ascii="Arial" w:hAnsi="Arial" w:cs="Arial"/>
          <w:color w:val="FF0000"/>
          <w:spacing w:val="-4"/>
          <w:sz w:val="24"/>
          <w:szCs w:val="24"/>
        </w:rPr>
      </w:pPr>
    </w:p>
    <w:p w14:paraId="4572A5F8"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3"/>
          <w:sz w:val="24"/>
          <w:szCs w:val="24"/>
        </w:rPr>
        <w:t>‟GRAP” means the Standards on Generally Accepted Accounting Practice, as issued by the Accounting Standards Board</w:t>
      </w:r>
    </w:p>
    <w:p w14:paraId="5A55FFDF"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3045F39E" w14:textId="77777777" w:rsidR="004F5ED2" w:rsidRPr="00806B47" w:rsidRDefault="004F5ED2" w:rsidP="004F5ED2">
      <w:pPr>
        <w:pStyle w:val="ListParagraph"/>
        <w:numPr>
          <w:ilvl w:val="1"/>
          <w:numId w:val="16"/>
        </w:numPr>
        <w:spacing w:after="0" w:line="276" w:lineRule="auto"/>
        <w:jc w:val="both"/>
        <w:rPr>
          <w:rFonts w:ascii="Arial" w:hAnsi="Arial" w:cs="Arial"/>
          <w:sz w:val="24"/>
          <w:szCs w:val="24"/>
        </w:rPr>
      </w:pPr>
      <w:r w:rsidRPr="00806B47">
        <w:rPr>
          <w:rFonts w:ascii="Arial" w:hAnsi="Arial" w:cs="Arial"/>
          <w:sz w:val="24"/>
          <w:szCs w:val="24"/>
        </w:rPr>
        <w:t xml:space="preserve">“Housing Development Fund”’ means the fund that was established in terms of the Housing Act, 1997 (Act No 107 of 1997). Loans from national and provincial government used to finance housing selling schemes undertaken by the Municipality were extinguished on 1 April 1998 and transferred to a Housing </w:t>
      </w:r>
      <w:r w:rsidRPr="00806B47">
        <w:rPr>
          <w:rFonts w:ascii="Arial" w:hAnsi="Arial" w:cs="Arial"/>
          <w:sz w:val="24"/>
          <w:szCs w:val="24"/>
        </w:rPr>
        <w:lastRenderedPageBreak/>
        <w:t xml:space="preserve">Development Fund. Housing selling schemes both complete and in progress as at 1 April 1998, were also transferred to the Housing Development Fund. </w:t>
      </w:r>
    </w:p>
    <w:p w14:paraId="069FB391" w14:textId="77777777" w:rsidR="004F5ED2" w:rsidRPr="00806B47" w:rsidRDefault="004F5ED2" w:rsidP="004F5ED2">
      <w:pPr>
        <w:pStyle w:val="ListParagraph"/>
        <w:spacing w:after="0" w:line="276" w:lineRule="auto"/>
        <w:jc w:val="both"/>
        <w:rPr>
          <w:rFonts w:ascii="Arial" w:hAnsi="Arial" w:cs="Arial"/>
          <w:sz w:val="24"/>
          <w:szCs w:val="24"/>
        </w:rPr>
      </w:pPr>
    </w:p>
    <w:p w14:paraId="37B879DF" w14:textId="77777777" w:rsidR="004F5ED2" w:rsidRPr="00806B47" w:rsidRDefault="004F5ED2" w:rsidP="004F5ED2">
      <w:pPr>
        <w:pStyle w:val="ListParagraph"/>
        <w:numPr>
          <w:ilvl w:val="1"/>
          <w:numId w:val="16"/>
        </w:numPr>
        <w:spacing w:after="0" w:line="276" w:lineRule="auto"/>
        <w:jc w:val="both"/>
        <w:rPr>
          <w:rFonts w:ascii="Arial" w:hAnsi="Arial" w:cs="Arial"/>
          <w:sz w:val="24"/>
          <w:szCs w:val="24"/>
        </w:rPr>
      </w:pPr>
      <w:r w:rsidRPr="00806B47">
        <w:rPr>
          <w:rFonts w:ascii="Arial" w:hAnsi="Arial" w:cs="Arial"/>
          <w:sz w:val="24"/>
          <w:szCs w:val="24"/>
        </w:rPr>
        <w:t>‘‘Irregular expenditure’’ means:</w:t>
      </w:r>
    </w:p>
    <w:p w14:paraId="3B2842B1" w14:textId="77777777" w:rsidR="004F5ED2" w:rsidRPr="00806B47" w:rsidRDefault="004F5ED2" w:rsidP="004F5ED2">
      <w:pPr>
        <w:pStyle w:val="ListParagraph"/>
        <w:numPr>
          <w:ilvl w:val="0"/>
          <w:numId w:val="17"/>
        </w:numPr>
        <w:spacing w:after="0" w:line="276" w:lineRule="auto"/>
        <w:ind w:left="1134" w:hanging="567"/>
        <w:jc w:val="both"/>
        <w:rPr>
          <w:rFonts w:ascii="Arial" w:hAnsi="Arial" w:cs="Arial"/>
          <w:sz w:val="24"/>
          <w:szCs w:val="24"/>
        </w:rPr>
      </w:pPr>
      <w:r w:rsidRPr="00806B47">
        <w:rPr>
          <w:rFonts w:ascii="Arial" w:hAnsi="Arial" w:cs="Arial"/>
          <w:sz w:val="24"/>
          <w:szCs w:val="24"/>
        </w:rPr>
        <w:t xml:space="preserve">expenditure incurred by a municipality or municipal entity in contravention of, or that is not in accordance with, a requirement of this Act, and which has not been condoned in terms of section 170; </w:t>
      </w:r>
    </w:p>
    <w:p w14:paraId="1293629C" w14:textId="77777777" w:rsidR="004F5ED2" w:rsidRPr="00806B47" w:rsidRDefault="004F5ED2" w:rsidP="004F5ED2">
      <w:pPr>
        <w:pStyle w:val="ListParagraph"/>
        <w:numPr>
          <w:ilvl w:val="0"/>
          <w:numId w:val="17"/>
        </w:numPr>
        <w:spacing w:after="0" w:line="276" w:lineRule="auto"/>
        <w:ind w:left="1134" w:hanging="567"/>
        <w:jc w:val="both"/>
        <w:rPr>
          <w:rFonts w:ascii="Arial" w:hAnsi="Arial" w:cs="Arial"/>
          <w:sz w:val="24"/>
          <w:szCs w:val="24"/>
        </w:rPr>
      </w:pPr>
      <w:r w:rsidRPr="00806B47">
        <w:rPr>
          <w:rFonts w:ascii="Arial" w:hAnsi="Arial" w:cs="Arial"/>
          <w:sz w:val="24"/>
          <w:szCs w:val="24"/>
        </w:rPr>
        <w:t xml:space="preserve">expenditure incurred by a municipality or municipal entity in contravention of, or that is not in accordance with, a requirement of the Municipal Systems Act, and which has not been condoned in terms of that Act; </w:t>
      </w:r>
    </w:p>
    <w:p w14:paraId="3B3ABA23" w14:textId="77777777" w:rsidR="004F5ED2" w:rsidRPr="00806B47" w:rsidRDefault="004F5ED2" w:rsidP="004F5ED2">
      <w:pPr>
        <w:pStyle w:val="ListParagraph"/>
        <w:numPr>
          <w:ilvl w:val="0"/>
          <w:numId w:val="17"/>
        </w:numPr>
        <w:spacing w:after="0" w:line="276" w:lineRule="auto"/>
        <w:ind w:left="1134" w:hanging="567"/>
        <w:jc w:val="both"/>
        <w:rPr>
          <w:rFonts w:ascii="Arial" w:hAnsi="Arial" w:cs="Arial"/>
          <w:sz w:val="24"/>
          <w:szCs w:val="24"/>
        </w:rPr>
      </w:pPr>
      <w:r w:rsidRPr="00806B47">
        <w:rPr>
          <w:rFonts w:ascii="Arial" w:hAnsi="Arial" w:cs="Arial"/>
          <w:sz w:val="24"/>
          <w:szCs w:val="24"/>
        </w:rPr>
        <w:t>expenditure incurred by a municipality in contravention of, or that is not in accordance with, a requirement of the Public Office-Bearers Act, 1998 (Act No. 20 of 1998); or</w:t>
      </w:r>
    </w:p>
    <w:p w14:paraId="5703A4C9" w14:textId="77777777" w:rsidR="004F5ED2" w:rsidRPr="00806B47" w:rsidRDefault="004F5ED2" w:rsidP="004F5ED2">
      <w:pPr>
        <w:pStyle w:val="ListParagraph"/>
        <w:numPr>
          <w:ilvl w:val="0"/>
          <w:numId w:val="17"/>
        </w:numPr>
        <w:spacing w:after="0" w:line="276" w:lineRule="auto"/>
        <w:ind w:left="1134" w:hanging="567"/>
        <w:jc w:val="both"/>
        <w:rPr>
          <w:rFonts w:ascii="Arial" w:hAnsi="Arial" w:cs="Arial"/>
          <w:sz w:val="24"/>
          <w:szCs w:val="24"/>
        </w:rPr>
      </w:pPr>
      <w:r w:rsidRPr="00806B47">
        <w:rPr>
          <w:rFonts w:ascii="Arial" w:hAnsi="Arial" w:cs="Arial"/>
          <w:sz w:val="24"/>
          <w:szCs w:val="24"/>
        </w:rPr>
        <w:t xml:space="preserve">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and shall </w:t>
      </w:r>
    </w:p>
    <w:p w14:paraId="41D58537" w14:textId="77777777" w:rsidR="004F5ED2" w:rsidRPr="00806B47" w:rsidRDefault="004F5ED2" w:rsidP="004F5ED2">
      <w:pPr>
        <w:pStyle w:val="ListParagraph"/>
        <w:numPr>
          <w:ilvl w:val="0"/>
          <w:numId w:val="17"/>
        </w:numPr>
        <w:spacing w:after="0" w:line="276" w:lineRule="auto"/>
        <w:ind w:left="1134" w:hanging="567"/>
        <w:jc w:val="both"/>
        <w:rPr>
          <w:rFonts w:ascii="Arial" w:hAnsi="Arial" w:cs="Arial"/>
          <w:sz w:val="24"/>
          <w:szCs w:val="24"/>
        </w:rPr>
      </w:pPr>
      <w:r w:rsidRPr="00806B47">
        <w:rPr>
          <w:rFonts w:ascii="Arial" w:hAnsi="Arial" w:cs="Arial"/>
          <w:sz w:val="24"/>
          <w:szCs w:val="24"/>
        </w:rPr>
        <w:t>excludes expenditure by a municipality which falls within the definition of ‘‘unauthorised expenditure’’</w:t>
      </w:r>
    </w:p>
    <w:p w14:paraId="376472C9" w14:textId="77777777" w:rsidR="004F5ED2" w:rsidRPr="00806B47" w:rsidRDefault="004F5ED2" w:rsidP="004F5ED2">
      <w:pPr>
        <w:spacing w:after="0" w:line="276" w:lineRule="auto"/>
        <w:jc w:val="both"/>
        <w:rPr>
          <w:rFonts w:ascii="Arial" w:hAnsi="Arial" w:cs="Arial"/>
          <w:sz w:val="24"/>
          <w:szCs w:val="24"/>
        </w:rPr>
      </w:pPr>
    </w:p>
    <w:p w14:paraId="239460C3" w14:textId="77777777" w:rsidR="004F5ED2" w:rsidRPr="00806B47" w:rsidRDefault="004F5ED2" w:rsidP="004F5ED2">
      <w:pPr>
        <w:pStyle w:val="ListParagraph"/>
        <w:numPr>
          <w:ilvl w:val="1"/>
          <w:numId w:val="16"/>
        </w:numPr>
        <w:spacing w:after="0" w:line="276" w:lineRule="auto"/>
        <w:jc w:val="both"/>
        <w:rPr>
          <w:rFonts w:ascii="Arial" w:hAnsi="Arial" w:cs="Arial"/>
          <w:sz w:val="24"/>
          <w:szCs w:val="24"/>
        </w:rPr>
      </w:pPr>
      <w:r w:rsidRPr="00806B47">
        <w:rPr>
          <w:rFonts w:ascii="Arial" w:hAnsi="Arial" w:cs="Arial"/>
          <w:sz w:val="24"/>
          <w:szCs w:val="24"/>
        </w:rPr>
        <w:t>“Line item” means an appropriation that is itemized on a separate line in a budget adopted with the idea of greater control over expenditures.</w:t>
      </w:r>
    </w:p>
    <w:p w14:paraId="0E50E738" w14:textId="77777777" w:rsidR="004F5ED2" w:rsidRPr="00806B47" w:rsidRDefault="004F5ED2" w:rsidP="004F5ED2">
      <w:pPr>
        <w:pStyle w:val="ListParagraph"/>
        <w:spacing w:after="0" w:line="276" w:lineRule="auto"/>
        <w:ind w:left="564"/>
        <w:jc w:val="both"/>
        <w:rPr>
          <w:rFonts w:ascii="Arial" w:hAnsi="Arial" w:cs="Arial"/>
          <w:sz w:val="24"/>
          <w:szCs w:val="24"/>
        </w:rPr>
      </w:pPr>
    </w:p>
    <w:p w14:paraId="50C302AB" w14:textId="77777777" w:rsidR="004F5ED2" w:rsidRPr="00806B47" w:rsidRDefault="004F5ED2" w:rsidP="004F5ED2">
      <w:pPr>
        <w:pStyle w:val="ListParagraph"/>
        <w:numPr>
          <w:ilvl w:val="1"/>
          <w:numId w:val="16"/>
        </w:numPr>
        <w:spacing w:after="0" w:line="276" w:lineRule="auto"/>
        <w:jc w:val="both"/>
        <w:rPr>
          <w:rFonts w:ascii="Arial" w:hAnsi="Arial" w:cs="Arial"/>
          <w:sz w:val="24"/>
          <w:szCs w:val="24"/>
        </w:rPr>
      </w:pPr>
      <w:r w:rsidRPr="00806B47">
        <w:rPr>
          <w:rFonts w:ascii="Arial" w:hAnsi="Arial" w:cs="Arial"/>
          <w:sz w:val="24"/>
          <w:szCs w:val="24"/>
        </w:rPr>
        <w:t>“MBRR” means the Municipal Budget and Reporting Regulations, as issued by National Treasury.</w:t>
      </w:r>
    </w:p>
    <w:p w14:paraId="644A4438"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1027F9FB"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2"/>
          <w:sz w:val="24"/>
          <w:szCs w:val="24"/>
        </w:rPr>
      </w:pPr>
      <w:r w:rsidRPr="00806B47">
        <w:rPr>
          <w:rFonts w:ascii="Arial" w:hAnsi="Arial" w:cs="Arial"/>
          <w:spacing w:val="-2"/>
          <w:sz w:val="24"/>
          <w:szCs w:val="24"/>
        </w:rPr>
        <w:t>‟MFMA” means the Municipal Financial Management Act, 2003 (Act No 56 of 2003)</w:t>
      </w:r>
    </w:p>
    <w:p w14:paraId="68ADB94B"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6BAA6B67"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 xml:space="preserve">“mSCOA” refers to the latest version of the Municipal Standard Chart of Accounts issued in terms of the </w:t>
      </w:r>
      <w:bookmarkStart w:id="1" w:name="_Hlk54083565"/>
      <w:r w:rsidRPr="00806B47">
        <w:rPr>
          <w:rFonts w:ascii="Arial" w:hAnsi="Arial" w:cs="Arial"/>
          <w:spacing w:val="-4"/>
          <w:sz w:val="24"/>
          <w:szCs w:val="24"/>
        </w:rPr>
        <w:t>Municipal Regulation on Standard Chart of Accounts.  The version of the chart utilised is version 6.5 effective from 1 July 2021.</w:t>
      </w:r>
    </w:p>
    <w:p w14:paraId="03E7439C"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5A196E71"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w:t>
      </w:r>
      <w:bookmarkEnd w:id="1"/>
      <w:r w:rsidRPr="00806B47">
        <w:rPr>
          <w:rFonts w:ascii="Arial" w:hAnsi="Arial" w:cs="Arial"/>
          <w:spacing w:val="-4"/>
          <w:sz w:val="24"/>
          <w:szCs w:val="24"/>
        </w:rPr>
        <w:t>Municipal Running Cost” in terms of mSCOA refer to any other expenditure not relating to a specific project for example general expenses relating to the daily running and operation of the municipality.</w:t>
      </w:r>
    </w:p>
    <w:p w14:paraId="1CAEDCCA" w14:textId="77777777" w:rsidR="004F5ED2" w:rsidRPr="00806B47" w:rsidRDefault="004F5ED2" w:rsidP="004F5ED2">
      <w:pPr>
        <w:pStyle w:val="ListParagraph"/>
        <w:widowControl w:val="0"/>
        <w:autoSpaceDE w:val="0"/>
        <w:autoSpaceDN w:val="0"/>
        <w:adjustRightInd w:val="0"/>
        <w:spacing w:after="0" w:line="276" w:lineRule="auto"/>
        <w:ind w:left="360"/>
        <w:jc w:val="both"/>
        <w:rPr>
          <w:rFonts w:ascii="Arial" w:hAnsi="Arial" w:cs="Arial"/>
          <w:spacing w:val="-4"/>
          <w:sz w:val="24"/>
          <w:szCs w:val="24"/>
        </w:rPr>
      </w:pPr>
    </w:p>
    <w:p w14:paraId="7B58EEE5"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 xml:space="preserve">“Municipality” means </w:t>
      </w:r>
      <w:proofErr w:type="spellStart"/>
      <w:r w:rsidRPr="00806B47">
        <w:rPr>
          <w:rFonts w:ascii="Arial" w:hAnsi="Arial" w:cs="Arial"/>
          <w:spacing w:val="-4"/>
          <w:sz w:val="24"/>
          <w:szCs w:val="24"/>
        </w:rPr>
        <w:t>xxxx</w:t>
      </w:r>
      <w:proofErr w:type="spellEnd"/>
      <w:r w:rsidRPr="00806B47">
        <w:rPr>
          <w:rFonts w:ascii="Arial" w:hAnsi="Arial" w:cs="Arial"/>
          <w:spacing w:val="-4"/>
          <w:sz w:val="24"/>
          <w:szCs w:val="24"/>
        </w:rPr>
        <w:t xml:space="preserve"> Local Municipality</w:t>
      </w:r>
    </w:p>
    <w:p w14:paraId="1DD1CC44"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149616F6"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‘‘Municipal entity’’ has the meaning assigned to it in section 1 of the Municipal Systems Act</w:t>
      </w:r>
    </w:p>
    <w:p w14:paraId="5CFB8F11"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39AC65C1"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lastRenderedPageBreak/>
        <w:t>‘‘Municipal tax’’ means property rates or other taxes, levies or duties that a municipality may impose</w:t>
      </w:r>
    </w:p>
    <w:p w14:paraId="25C86A24"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149CB66E"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“Operational” shall mean revenue or expenditure included in or to be incurred on the operating budget.</w:t>
      </w:r>
    </w:p>
    <w:p w14:paraId="5B0F5B26" w14:textId="77777777" w:rsidR="004F5ED2" w:rsidRPr="00806B47" w:rsidRDefault="004F5ED2" w:rsidP="004F5ED2">
      <w:pPr>
        <w:pStyle w:val="ListParagraph"/>
        <w:rPr>
          <w:rFonts w:ascii="Arial" w:hAnsi="Arial" w:cs="Arial"/>
          <w:spacing w:val="-4"/>
          <w:sz w:val="24"/>
          <w:szCs w:val="24"/>
        </w:rPr>
      </w:pPr>
    </w:p>
    <w:p w14:paraId="77289BB1"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z w:val="24"/>
          <w:szCs w:val="24"/>
        </w:rPr>
        <w:t>“</w:t>
      </w:r>
      <w:r w:rsidRPr="00806B47">
        <w:rPr>
          <w:rFonts w:ascii="Arial" w:hAnsi="Arial" w:cs="Arial"/>
          <w:spacing w:val="-4"/>
          <w:sz w:val="24"/>
          <w:szCs w:val="24"/>
        </w:rPr>
        <w:t>Operating budget” means the Municipality’s Financial Plan, which outlines proposed expenditures for the coming financial year and estimates the revenues used to finance them.</w:t>
      </w:r>
    </w:p>
    <w:p w14:paraId="6BE9BBCD"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00D693E6"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“Operational projects” shall mean the same as per the project segment in the mSCOA chart and project summary definition and refer to current and short- term projects for which the cost is immediately recognised as an expense and funded from the municipalities' operational budget.</w:t>
      </w:r>
    </w:p>
    <w:p w14:paraId="42F48BBD"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3AA19971"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‘‘Overspending’’ in relation to the budget of a municipality, means:</w:t>
      </w:r>
    </w:p>
    <w:p w14:paraId="648869CD" w14:textId="77777777" w:rsidR="004F5ED2" w:rsidRPr="00806B47" w:rsidRDefault="004F5ED2" w:rsidP="004F5ED2">
      <w:pPr>
        <w:pStyle w:val="ListParagraph"/>
        <w:numPr>
          <w:ilvl w:val="1"/>
          <w:numId w:val="18"/>
        </w:numPr>
        <w:spacing w:after="0" w:line="276" w:lineRule="auto"/>
        <w:ind w:left="1134" w:hanging="567"/>
        <w:jc w:val="both"/>
        <w:rPr>
          <w:rFonts w:ascii="Arial" w:hAnsi="Arial" w:cs="Arial"/>
          <w:spacing w:val="-4"/>
          <w:sz w:val="24"/>
          <w:szCs w:val="24"/>
        </w:rPr>
      </w:pPr>
      <w:r w:rsidRPr="00806B47">
        <w:rPr>
          <w:rFonts w:ascii="Arial" w:hAnsi="Arial" w:cs="Arial"/>
          <w:spacing w:val="-4"/>
          <w:sz w:val="24"/>
          <w:szCs w:val="24"/>
        </w:rPr>
        <w:t xml:space="preserve">causing the operational or capital expenditure incurred by the municipality during a financial year to exceed the total amount appropriated in that year’s budget for its operational or capital expenditure, as the case may be; </w:t>
      </w:r>
    </w:p>
    <w:p w14:paraId="604FD0EF" w14:textId="77777777" w:rsidR="004F5ED2" w:rsidRPr="00806B47" w:rsidRDefault="004F5ED2" w:rsidP="004F5ED2">
      <w:pPr>
        <w:pStyle w:val="ListParagraph"/>
        <w:numPr>
          <w:ilvl w:val="1"/>
          <w:numId w:val="18"/>
        </w:numPr>
        <w:spacing w:after="0" w:line="276" w:lineRule="auto"/>
        <w:ind w:left="1134" w:hanging="567"/>
        <w:jc w:val="both"/>
        <w:rPr>
          <w:rFonts w:ascii="Arial" w:hAnsi="Arial" w:cs="Arial"/>
          <w:spacing w:val="-4"/>
          <w:sz w:val="24"/>
          <w:szCs w:val="24"/>
        </w:rPr>
      </w:pPr>
      <w:r w:rsidRPr="00806B47">
        <w:rPr>
          <w:rFonts w:ascii="Arial" w:hAnsi="Arial" w:cs="Arial"/>
          <w:spacing w:val="-4"/>
          <w:sz w:val="24"/>
          <w:szCs w:val="24"/>
        </w:rPr>
        <w:t>in relation to a vote, means causing expenditure under the vote to exceed the amount appropriated for that vote; or in relation to expenditure under section 26, means causing expenditure under that section to exceed the limits allowed in subsection (5) of that section</w:t>
      </w:r>
    </w:p>
    <w:p w14:paraId="710F5D81" w14:textId="77777777" w:rsidR="004F5ED2" w:rsidRPr="00806B47" w:rsidRDefault="004F5ED2" w:rsidP="004F5ED2">
      <w:pPr>
        <w:pStyle w:val="ListParagraph"/>
        <w:spacing w:after="0" w:line="276" w:lineRule="auto"/>
        <w:ind w:left="1134"/>
        <w:jc w:val="both"/>
        <w:rPr>
          <w:rFonts w:ascii="Arial" w:hAnsi="Arial" w:cs="Arial"/>
          <w:spacing w:val="-4"/>
          <w:sz w:val="24"/>
          <w:szCs w:val="24"/>
        </w:rPr>
      </w:pPr>
    </w:p>
    <w:p w14:paraId="7583014A"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jc w:val="both"/>
        <w:rPr>
          <w:rFonts w:ascii="Arial" w:hAnsi="Arial" w:cs="Arial"/>
          <w:spacing w:val="-4"/>
          <w:sz w:val="24"/>
          <w:szCs w:val="24"/>
        </w:rPr>
      </w:pPr>
      <w:r w:rsidRPr="00806B47">
        <w:rPr>
          <w:rFonts w:ascii="Arial" w:hAnsi="Arial" w:cs="Arial"/>
          <w:spacing w:val="-4"/>
          <w:sz w:val="24"/>
          <w:szCs w:val="24"/>
        </w:rPr>
        <w:t>‘‘Provincial Treasury’’ means a treasury established in terms of section 17 of the Public Finance Management Act</w:t>
      </w:r>
    </w:p>
    <w:p w14:paraId="3DD57596" w14:textId="77777777" w:rsidR="004F5ED2" w:rsidRPr="00806B47" w:rsidRDefault="004F5ED2" w:rsidP="004F5ED2">
      <w:pPr>
        <w:pStyle w:val="ListParagraph"/>
        <w:widowControl w:val="0"/>
        <w:autoSpaceDE w:val="0"/>
        <w:autoSpaceDN w:val="0"/>
        <w:adjustRightInd w:val="0"/>
        <w:spacing w:after="0" w:line="276" w:lineRule="auto"/>
        <w:ind w:left="567"/>
        <w:jc w:val="both"/>
        <w:rPr>
          <w:rFonts w:ascii="Arial" w:hAnsi="Arial" w:cs="Arial"/>
          <w:spacing w:val="-4"/>
          <w:sz w:val="24"/>
          <w:szCs w:val="24"/>
        </w:rPr>
      </w:pPr>
    </w:p>
    <w:p w14:paraId="410CBF27"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jc w:val="both"/>
        <w:rPr>
          <w:rFonts w:ascii="Arial" w:hAnsi="Arial" w:cs="Arial"/>
          <w:spacing w:val="-4"/>
          <w:sz w:val="24"/>
          <w:szCs w:val="24"/>
        </w:rPr>
      </w:pPr>
      <w:r w:rsidRPr="00806B47">
        <w:rPr>
          <w:rFonts w:ascii="Arial" w:hAnsi="Arial" w:cs="Arial"/>
          <w:spacing w:val="-4"/>
          <w:sz w:val="24"/>
          <w:szCs w:val="24"/>
        </w:rPr>
        <w:t>“Ring fenced” means an exclusive combination of line items grouped for specific purposes.</w:t>
      </w:r>
    </w:p>
    <w:p w14:paraId="210E15D5" w14:textId="77777777" w:rsidR="004F5ED2" w:rsidRPr="00806B47" w:rsidRDefault="004F5ED2" w:rsidP="004F5ED2">
      <w:pPr>
        <w:pStyle w:val="ListParagraph"/>
        <w:widowControl w:val="0"/>
        <w:autoSpaceDE w:val="0"/>
        <w:autoSpaceDN w:val="0"/>
        <w:adjustRightInd w:val="0"/>
        <w:spacing w:after="0" w:line="276" w:lineRule="auto"/>
        <w:ind w:left="567"/>
        <w:jc w:val="both"/>
        <w:rPr>
          <w:rFonts w:ascii="Arial" w:hAnsi="Arial" w:cs="Arial"/>
          <w:spacing w:val="-4"/>
          <w:sz w:val="24"/>
          <w:szCs w:val="24"/>
        </w:rPr>
      </w:pPr>
    </w:p>
    <w:p w14:paraId="34685DFA" w14:textId="77777777" w:rsidR="004F5ED2" w:rsidRPr="00806B47" w:rsidRDefault="004F5ED2" w:rsidP="004F5ED2">
      <w:pPr>
        <w:pStyle w:val="ListParagraph"/>
        <w:numPr>
          <w:ilvl w:val="1"/>
          <w:numId w:val="16"/>
        </w:numPr>
        <w:spacing w:after="0" w:line="276" w:lineRule="auto"/>
        <w:jc w:val="both"/>
        <w:rPr>
          <w:rFonts w:ascii="Arial" w:hAnsi="Arial" w:cs="Arial"/>
          <w:spacing w:val="-4"/>
          <w:sz w:val="24"/>
          <w:szCs w:val="24"/>
        </w:rPr>
      </w:pPr>
      <w:r w:rsidRPr="00806B47">
        <w:rPr>
          <w:rFonts w:ascii="Arial" w:hAnsi="Arial" w:cs="Arial"/>
          <w:spacing w:val="-4"/>
          <w:sz w:val="24"/>
          <w:szCs w:val="24"/>
        </w:rPr>
        <w:t>‘‘Service delivery and budget implementation plan’’ means a detailed plan approved by the mayor of a municipality in terms of section 53(1)(c)(ii) for implementing the municipality’s delivery of municipal services and its annual budget, and which must indicate projections for each month of revenue to be collected, by source; and operational and capital expenditure, by vote; service delivery targets and performance indicators for each quarter; and any other matters that may be prescribed, and includes any revisions of such plan by the mayor in terms of section 54(1)(c).</w:t>
      </w:r>
    </w:p>
    <w:p w14:paraId="22EA123E"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08CAA6E0"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“Standard chart of accounts" means a multi-dimensional classification framework providing the method and format for recording and classifying financial transaction information in the general ledger forming part of the books of account containing a standard list of all available accounts.</w:t>
      </w:r>
    </w:p>
    <w:p w14:paraId="61708463"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3493BFD4"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lastRenderedPageBreak/>
        <w:t>“Typical Workstream Projects” in terms of mSCOA refer to projects are created under this group for “operational projects” for example agricultural projects, capacity building, training and development, spatial planning, etc. Typically, these “projects” consist of various expense-items contributing to the outcome or objective of an initiative.</w:t>
      </w:r>
    </w:p>
    <w:p w14:paraId="2332F724"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753FF2B9"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“Unfunded / underfunded mandate” is defined as “when the municipality perform the functions of other spheres of government and bear significant cost out of their own revenue sources”. These unfunded / underfunded mandates pose an institutional and financial risk to the municipality as substantial amounts of municipal own funding is being allocated to non-core functions at the expense of basic service delivery which is the core mandate of the municipality.</w:t>
      </w:r>
    </w:p>
    <w:p w14:paraId="314F8A76"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537F9008"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jc w:val="both"/>
        <w:rPr>
          <w:rFonts w:ascii="Arial" w:hAnsi="Arial" w:cs="Arial"/>
          <w:spacing w:val="-4"/>
          <w:sz w:val="24"/>
          <w:szCs w:val="24"/>
        </w:rPr>
      </w:pPr>
      <w:r w:rsidRPr="00806B47">
        <w:rPr>
          <w:rFonts w:ascii="Arial" w:hAnsi="Arial" w:cs="Arial"/>
          <w:spacing w:val="-4"/>
          <w:sz w:val="24"/>
          <w:szCs w:val="24"/>
        </w:rPr>
        <w:t>‘‘Unauthorised expenditure’’ means any expenditure incurred by a municipality otherwise than in accordance with section 15 or 11(3), and includes overspending of the total amount appropriated in the municipality’s approved budget; overspending of the total amount appropriated for a vote in the approved budget; expenditure from a vote unrelated to the department or functional area covered by the vote; expenditure of money appropriated for a specific purpose, otherwise than for that specific purpose; spending of an allocation referred to the above of the definition of ‘‘allocation’’ otherwise than in accordance with any conditions of the allocation; or a grant by the municipality otherwise than in accordance with this Act.</w:t>
      </w:r>
    </w:p>
    <w:p w14:paraId="5FC56177"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3238F4EA"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“Virement” shall mean shifting of funds between line items within a Vote; means the process of transferring an approved budget allocation from one operating line item or capital project or another, with the approval of the relevant Manager to enable budget managers to amend budgets in the light of experience or to reflect anticipated changes.</w:t>
      </w:r>
    </w:p>
    <w:p w14:paraId="4E1870F3" w14:textId="77777777" w:rsidR="004F5ED2" w:rsidRPr="00806B47" w:rsidRDefault="004F5ED2" w:rsidP="004F5ED2">
      <w:pPr>
        <w:pStyle w:val="ListParagraph"/>
        <w:spacing w:after="0" w:line="276" w:lineRule="auto"/>
        <w:jc w:val="both"/>
        <w:rPr>
          <w:rFonts w:ascii="Arial" w:hAnsi="Arial" w:cs="Arial"/>
          <w:spacing w:val="-4"/>
          <w:sz w:val="24"/>
          <w:szCs w:val="24"/>
        </w:rPr>
      </w:pPr>
    </w:p>
    <w:p w14:paraId="1AB2001C" w14:textId="77777777" w:rsidR="004F5ED2" w:rsidRPr="00806B47" w:rsidRDefault="004F5ED2" w:rsidP="004F5ED2">
      <w:pPr>
        <w:pStyle w:val="ListParagraph"/>
        <w:widowControl w:val="0"/>
        <w:numPr>
          <w:ilvl w:val="1"/>
          <w:numId w:val="16"/>
        </w:numPr>
        <w:autoSpaceDE w:val="0"/>
        <w:autoSpaceDN w:val="0"/>
        <w:adjustRightInd w:val="0"/>
        <w:spacing w:after="0" w:line="276" w:lineRule="auto"/>
        <w:ind w:left="567" w:hanging="567"/>
        <w:jc w:val="both"/>
        <w:rPr>
          <w:rFonts w:ascii="Arial" w:hAnsi="Arial" w:cs="Arial"/>
          <w:spacing w:val="-4"/>
          <w:sz w:val="24"/>
          <w:szCs w:val="24"/>
        </w:rPr>
      </w:pPr>
      <w:r w:rsidRPr="00806B47">
        <w:rPr>
          <w:rFonts w:ascii="Arial" w:hAnsi="Arial" w:cs="Arial"/>
          <w:spacing w:val="-4"/>
          <w:sz w:val="24"/>
          <w:szCs w:val="24"/>
        </w:rPr>
        <w:t>“Vote” shall mean a directorate within the organisational structure of the municipality. In accordance with MFMA Circular No. 78, Unauthorised, Irregular and Fruitless and Wasteful Expenditure, “Votes are informed by Table A3 (Budgeted Financial Performance: revenues and expenditure by municipal vote)”.  The organisational structure of a municipality is reported under A3 of the Budget and Reporting Schedules, which is approved by Council.  The organisational structure is maintained using the Municipal Standard Classification segment, which therefore represents the vote.</w:t>
      </w:r>
    </w:p>
    <w:p w14:paraId="39BADFE1" w14:textId="77777777" w:rsidR="004F5ED2" w:rsidRDefault="004F5ED2" w:rsidP="004F5ED2">
      <w:pPr>
        <w:pStyle w:val="ListParagraph"/>
        <w:spacing w:after="0" w:line="276" w:lineRule="auto"/>
        <w:ind w:left="567"/>
        <w:jc w:val="both"/>
        <w:rPr>
          <w:rFonts w:ascii="Arial" w:hAnsi="Arial" w:cs="Arial"/>
          <w:spacing w:val="-4"/>
          <w:sz w:val="24"/>
          <w:szCs w:val="24"/>
        </w:rPr>
      </w:pPr>
    </w:p>
    <w:p w14:paraId="512B8CEF" w14:textId="77777777" w:rsidR="008A295B" w:rsidRPr="00806B47" w:rsidRDefault="008A295B" w:rsidP="004F5ED2">
      <w:pPr>
        <w:pStyle w:val="ListParagraph"/>
        <w:spacing w:after="0" w:line="276" w:lineRule="auto"/>
        <w:ind w:left="567"/>
        <w:jc w:val="both"/>
        <w:rPr>
          <w:rFonts w:ascii="Arial" w:hAnsi="Arial" w:cs="Arial"/>
          <w:spacing w:val="-4"/>
          <w:sz w:val="24"/>
          <w:szCs w:val="24"/>
        </w:rPr>
      </w:pPr>
    </w:p>
    <w:p w14:paraId="0ECA90A2" w14:textId="77777777" w:rsidR="004F5ED2" w:rsidRPr="00806B47" w:rsidRDefault="004F5ED2" w:rsidP="004F5ED2">
      <w:pPr>
        <w:pStyle w:val="Heading1"/>
        <w:numPr>
          <w:ilvl w:val="0"/>
          <w:numId w:val="16"/>
        </w:numPr>
        <w:tabs>
          <w:tab w:val="left" w:pos="567"/>
        </w:tabs>
        <w:spacing w:before="0" w:line="276" w:lineRule="auto"/>
        <w:jc w:val="both"/>
        <w:rPr>
          <w:rFonts w:ascii="Arial" w:hAnsi="Arial" w:cs="Arial"/>
          <w:b/>
          <w:bCs/>
          <w:sz w:val="24"/>
          <w:szCs w:val="24"/>
        </w:rPr>
      </w:pPr>
      <w:r w:rsidRPr="00806B47">
        <w:rPr>
          <w:rFonts w:ascii="Arial" w:hAnsi="Arial" w:cs="Arial"/>
          <w:b/>
          <w:bCs/>
          <w:sz w:val="24"/>
          <w:szCs w:val="24"/>
        </w:rPr>
        <w:tab/>
      </w:r>
      <w:bookmarkStart w:id="2" w:name="_Toc66441077"/>
      <w:r w:rsidRPr="00806B47">
        <w:rPr>
          <w:rFonts w:ascii="Arial" w:hAnsi="Arial" w:cs="Arial"/>
          <w:b/>
          <w:bCs/>
          <w:sz w:val="24"/>
          <w:szCs w:val="24"/>
        </w:rPr>
        <w:t>LEGISLATIVE FRAMEWORKS AND REGULATIONS</w:t>
      </w:r>
      <w:bookmarkEnd w:id="2"/>
    </w:p>
    <w:p w14:paraId="0C1B483C" w14:textId="77777777" w:rsidR="004F5ED2" w:rsidRPr="00806B47" w:rsidRDefault="004F5ED2" w:rsidP="004F5ED2">
      <w:pPr>
        <w:tabs>
          <w:tab w:val="left" w:pos="567"/>
        </w:tabs>
        <w:spacing w:after="0" w:line="276" w:lineRule="auto"/>
        <w:jc w:val="both"/>
        <w:rPr>
          <w:rFonts w:ascii="Arial" w:hAnsi="Arial" w:cs="Arial"/>
          <w:sz w:val="24"/>
          <w:szCs w:val="24"/>
        </w:rPr>
      </w:pPr>
    </w:p>
    <w:p w14:paraId="0DAECDD0" w14:textId="77777777" w:rsidR="004F5ED2" w:rsidRPr="00806B47" w:rsidRDefault="004F5ED2" w:rsidP="004F5ED2">
      <w:pPr>
        <w:tabs>
          <w:tab w:val="left" w:pos="567"/>
        </w:tabs>
        <w:spacing w:after="0" w:line="276" w:lineRule="auto"/>
        <w:jc w:val="both"/>
        <w:rPr>
          <w:rFonts w:ascii="Arial" w:hAnsi="Arial" w:cs="Arial"/>
          <w:spacing w:val="1"/>
          <w:sz w:val="24"/>
          <w:szCs w:val="24"/>
        </w:rPr>
      </w:pPr>
      <w:r w:rsidRPr="00806B47">
        <w:rPr>
          <w:rFonts w:ascii="Arial" w:hAnsi="Arial" w:cs="Arial"/>
          <w:sz w:val="24"/>
          <w:szCs w:val="24"/>
        </w:rPr>
        <w:t>2.1</w:t>
      </w:r>
      <w:r w:rsidRPr="00806B47">
        <w:rPr>
          <w:rFonts w:ascii="Arial" w:hAnsi="Arial" w:cs="Arial"/>
          <w:sz w:val="24"/>
          <w:szCs w:val="24"/>
        </w:rPr>
        <w:tab/>
        <w:t>The l</w:t>
      </w:r>
      <w:r w:rsidRPr="00806B47">
        <w:rPr>
          <w:rFonts w:ascii="Arial" w:hAnsi="Arial" w:cs="Arial"/>
          <w:spacing w:val="1"/>
          <w:sz w:val="24"/>
          <w:szCs w:val="24"/>
        </w:rPr>
        <w:t xml:space="preserve">egislative frameworks and regulations considered in determining the virements </w:t>
      </w:r>
      <w:r w:rsidRPr="00806B47">
        <w:rPr>
          <w:rFonts w:ascii="Arial" w:hAnsi="Arial" w:cs="Arial"/>
          <w:spacing w:val="1"/>
          <w:sz w:val="24"/>
          <w:szCs w:val="24"/>
        </w:rPr>
        <w:tab/>
        <w:t>policy are:</w:t>
      </w:r>
    </w:p>
    <w:p w14:paraId="061A57E4" w14:textId="77777777" w:rsidR="004F5ED2" w:rsidRPr="00806B47" w:rsidRDefault="004F5ED2" w:rsidP="004F5ED2">
      <w:pPr>
        <w:pStyle w:val="ListParagraph"/>
        <w:widowControl w:val="0"/>
        <w:numPr>
          <w:ilvl w:val="0"/>
          <w:numId w:val="19"/>
        </w:numPr>
        <w:tabs>
          <w:tab w:val="left" w:pos="1134"/>
        </w:tabs>
        <w:autoSpaceDE w:val="0"/>
        <w:autoSpaceDN w:val="0"/>
        <w:adjustRightInd w:val="0"/>
        <w:spacing w:after="0" w:line="276" w:lineRule="auto"/>
        <w:ind w:left="1134" w:hanging="567"/>
        <w:jc w:val="both"/>
        <w:rPr>
          <w:rFonts w:ascii="Arial" w:hAnsi="Arial" w:cs="Arial"/>
          <w:spacing w:val="1"/>
          <w:sz w:val="24"/>
          <w:szCs w:val="24"/>
        </w:rPr>
      </w:pPr>
      <w:r w:rsidRPr="00806B47">
        <w:rPr>
          <w:rFonts w:ascii="Arial" w:hAnsi="Arial" w:cs="Arial"/>
          <w:spacing w:val="1"/>
          <w:sz w:val="24"/>
          <w:szCs w:val="24"/>
        </w:rPr>
        <w:lastRenderedPageBreak/>
        <w:t>Municipal Finance Management Act, 2003 (Act No. 56 of 2003)</w:t>
      </w:r>
    </w:p>
    <w:p w14:paraId="3BAA8990" w14:textId="77777777" w:rsidR="004F5ED2" w:rsidRPr="00806B47" w:rsidRDefault="004F5ED2" w:rsidP="004F5ED2">
      <w:pPr>
        <w:pStyle w:val="ListParagraph"/>
        <w:widowControl w:val="0"/>
        <w:numPr>
          <w:ilvl w:val="0"/>
          <w:numId w:val="19"/>
        </w:numPr>
        <w:tabs>
          <w:tab w:val="left" w:pos="1134"/>
        </w:tabs>
        <w:autoSpaceDE w:val="0"/>
        <w:autoSpaceDN w:val="0"/>
        <w:adjustRightInd w:val="0"/>
        <w:spacing w:after="0" w:line="276" w:lineRule="auto"/>
        <w:ind w:left="1134" w:hanging="567"/>
        <w:jc w:val="both"/>
        <w:rPr>
          <w:rFonts w:ascii="Arial" w:hAnsi="Arial" w:cs="Arial"/>
          <w:spacing w:val="2"/>
          <w:sz w:val="24"/>
          <w:szCs w:val="24"/>
        </w:rPr>
      </w:pPr>
      <w:r w:rsidRPr="00806B47">
        <w:rPr>
          <w:rFonts w:ascii="Arial" w:hAnsi="Arial" w:cs="Arial"/>
          <w:spacing w:val="2"/>
          <w:sz w:val="24"/>
          <w:szCs w:val="24"/>
        </w:rPr>
        <w:t>Municipal Budget and Reporting Regulation, Regulation 393, published under Government Gazette 32141, 17 April 2009</w:t>
      </w:r>
    </w:p>
    <w:p w14:paraId="186C3AF2" w14:textId="77777777" w:rsidR="004F5ED2" w:rsidRPr="00806B47" w:rsidRDefault="004F5ED2" w:rsidP="004F5ED2">
      <w:pPr>
        <w:pStyle w:val="ListParagraph"/>
        <w:widowControl w:val="0"/>
        <w:numPr>
          <w:ilvl w:val="0"/>
          <w:numId w:val="19"/>
        </w:numPr>
        <w:tabs>
          <w:tab w:val="left" w:pos="1134"/>
        </w:tabs>
        <w:autoSpaceDE w:val="0"/>
        <w:autoSpaceDN w:val="0"/>
        <w:adjustRightInd w:val="0"/>
        <w:spacing w:after="0" w:line="276" w:lineRule="auto"/>
        <w:ind w:left="1134" w:hanging="567"/>
        <w:jc w:val="both"/>
        <w:rPr>
          <w:rFonts w:ascii="Arial" w:hAnsi="Arial" w:cs="Arial"/>
          <w:spacing w:val="2"/>
          <w:sz w:val="24"/>
          <w:szCs w:val="24"/>
        </w:rPr>
      </w:pPr>
      <w:r w:rsidRPr="00806B47">
        <w:rPr>
          <w:rFonts w:ascii="Arial" w:hAnsi="Arial" w:cs="Arial"/>
          <w:spacing w:val="2"/>
          <w:sz w:val="24"/>
          <w:szCs w:val="24"/>
        </w:rPr>
        <w:t>Municipal Finance Management Act: Municipal Regulations on Standard Chart of Accounts, Regulation 10178, published under Government Gazette 37577, 22 April 2014</w:t>
      </w:r>
    </w:p>
    <w:p w14:paraId="0B1E2365" w14:textId="77777777" w:rsidR="004F5ED2" w:rsidRPr="00806B47" w:rsidRDefault="004F5ED2" w:rsidP="004F5ED2">
      <w:pPr>
        <w:pStyle w:val="ListParagraph"/>
        <w:widowControl w:val="0"/>
        <w:numPr>
          <w:ilvl w:val="0"/>
          <w:numId w:val="19"/>
        </w:numPr>
        <w:tabs>
          <w:tab w:val="left" w:pos="1134"/>
        </w:tabs>
        <w:autoSpaceDE w:val="0"/>
        <w:autoSpaceDN w:val="0"/>
        <w:adjustRightInd w:val="0"/>
        <w:spacing w:after="0" w:line="276" w:lineRule="auto"/>
        <w:ind w:left="1134" w:hanging="567"/>
        <w:jc w:val="both"/>
        <w:rPr>
          <w:rFonts w:ascii="Arial" w:hAnsi="Arial" w:cs="Arial"/>
          <w:spacing w:val="2"/>
          <w:sz w:val="24"/>
          <w:szCs w:val="24"/>
        </w:rPr>
      </w:pPr>
      <w:r w:rsidRPr="00806B47">
        <w:rPr>
          <w:rFonts w:ascii="Arial" w:hAnsi="Arial" w:cs="Arial"/>
          <w:spacing w:val="2"/>
          <w:sz w:val="24"/>
          <w:szCs w:val="24"/>
        </w:rPr>
        <w:t>Municipal Finance Management Act: Circular No. 51: Municipal Budget Circular for the 2010/11 MTREF, 19 February 2010</w:t>
      </w:r>
    </w:p>
    <w:p w14:paraId="1E408620" w14:textId="77777777" w:rsidR="004F5ED2" w:rsidRPr="00806B47" w:rsidRDefault="004F5ED2" w:rsidP="004F5ED2">
      <w:pPr>
        <w:pStyle w:val="ListParagraph"/>
        <w:widowControl w:val="0"/>
        <w:numPr>
          <w:ilvl w:val="0"/>
          <w:numId w:val="19"/>
        </w:numPr>
        <w:tabs>
          <w:tab w:val="left" w:pos="1134"/>
        </w:tabs>
        <w:autoSpaceDE w:val="0"/>
        <w:autoSpaceDN w:val="0"/>
        <w:adjustRightInd w:val="0"/>
        <w:spacing w:after="0" w:line="276" w:lineRule="auto"/>
        <w:ind w:left="1134" w:hanging="567"/>
        <w:jc w:val="both"/>
        <w:rPr>
          <w:rFonts w:ascii="Arial" w:hAnsi="Arial" w:cs="Arial"/>
          <w:spacing w:val="2"/>
          <w:sz w:val="24"/>
          <w:szCs w:val="24"/>
        </w:rPr>
      </w:pPr>
      <w:bookmarkStart w:id="3" w:name="_Hlk66427369"/>
      <w:r w:rsidRPr="00806B47">
        <w:rPr>
          <w:rFonts w:ascii="Arial" w:hAnsi="Arial" w:cs="Arial"/>
          <w:spacing w:val="2"/>
          <w:sz w:val="24"/>
          <w:szCs w:val="24"/>
        </w:rPr>
        <w:t>Municipal Finance Management Act: Circular 89: Municipal Budget Circular for the 2018/19 MTREF, 18 December 2017</w:t>
      </w:r>
    </w:p>
    <w:bookmarkEnd w:id="3"/>
    <w:p w14:paraId="2C664873" w14:textId="77777777" w:rsidR="004F5ED2" w:rsidRPr="00806B47" w:rsidRDefault="004F5ED2" w:rsidP="004F5ED2">
      <w:pPr>
        <w:pStyle w:val="ListParagraph"/>
        <w:widowControl w:val="0"/>
        <w:numPr>
          <w:ilvl w:val="0"/>
          <w:numId w:val="19"/>
        </w:numPr>
        <w:tabs>
          <w:tab w:val="left" w:pos="1134"/>
        </w:tabs>
        <w:autoSpaceDE w:val="0"/>
        <w:autoSpaceDN w:val="0"/>
        <w:adjustRightInd w:val="0"/>
        <w:spacing w:after="0" w:line="276" w:lineRule="auto"/>
        <w:ind w:left="1134" w:hanging="567"/>
        <w:jc w:val="both"/>
        <w:rPr>
          <w:rFonts w:ascii="Arial" w:hAnsi="Arial" w:cs="Arial"/>
          <w:spacing w:val="2"/>
          <w:sz w:val="24"/>
          <w:szCs w:val="24"/>
        </w:rPr>
      </w:pPr>
      <w:r w:rsidRPr="00806B47">
        <w:rPr>
          <w:rFonts w:ascii="Arial" w:hAnsi="Arial" w:cs="Arial"/>
          <w:spacing w:val="2"/>
          <w:sz w:val="24"/>
          <w:szCs w:val="24"/>
        </w:rPr>
        <w:t>Municipal Finance Management Act: Circular 68: Unauthorised, Irregular, Fruitless and Wasteful Expenditure, Updated in March 2019</w:t>
      </w:r>
    </w:p>
    <w:p w14:paraId="6AF640E9" w14:textId="77777777" w:rsidR="004F5ED2" w:rsidRPr="00806B47" w:rsidRDefault="004F5ED2" w:rsidP="004F5ED2">
      <w:pPr>
        <w:widowControl w:val="0"/>
        <w:tabs>
          <w:tab w:val="left" w:pos="1134"/>
        </w:tabs>
        <w:autoSpaceDE w:val="0"/>
        <w:autoSpaceDN w:val="0"/>
        <w:adjustRightInd w:val="0"/>
        <w:spacing w:after="0" w:line="276" w:lineRule="auto"/>
        <w:ind w:left="1134" w:hanging="567"/>
        <w:jc w:val="both"/>
        <w:rPr>
          <w:rFonts w:ascii="Arial" w:hAnsi="Arial" w:cs="Arial"/>
          <w:spacing w:val="2"/>
          <w:sz w:val="24"/>
          <w:szCs w:val="24"/>
        </w:rPr>
      </w:pPr>
    </w:p>
    <w:p w14:paraId="04252262" w14:textId="77777777" w:rsidR="004F5ED2" w:rsidRPr="00806B47" w:rsidRDefault="004F5ED2" w:rsidP="004F5ED2">
      <w:pPr>
        <w:pStyle w:val="Heading1"/>
        <w:numPr>
          <w:ilvl w:val="0"/>
          <w:numId w:val="16"/>
        </w:numPr>
        <w:spacing w:before="0" w:line="276" w:lineRule="auto"/>
        <w:ind w:left="567" w:hanging="567"/>
        <w:jc w:val="both"/>
        <w:rPr>
          <w:rFonts w:ascii="Arial" w:hAnsi="Arial" w:cs="Arial"/>
          <w:b/>
          <w:bCs/>
          <w:sz w:val="24"/>
          <w:szCs w:val="24"/>
        </w:rPr>
      </w:pPr>
      <w:bookmarkStart w:id="4" w:name="_Toc66441078"/>
      <w:r w:rsidRPr="00806B47">
        <w:rPr>
          <w:rFonts w:ascii="Arial" w:hAnsi="Arial" w:cs="Arial"/>
          <w:b/>
          <w:bCs/>
          <w:sz w:val="24"/>
          <w:szCs w:val="24"/>
        </w:rPr>
        <w:t>LEGISLATIVE OBLIGATIONS FOR THE POLICY</w:t>
      </w:r>
      <w:bookmarkEnd w:id="4"/>
    </w:p>
    <w:p w14:paraId="1FA4C745" w14:textId="77777777" w:rsidR="004F5ED2" w:rsidRPr="00806B47" w:rsidRDefault="004F5ED2" w:rsidP="004F5ED2">
      <w:pPr>
        <w:spacing w:after="0" w:line="276" w:lineRule="auto"/>
        <w:jc w:val="both"/>
        <w:rPr>
          <w:rFonts w:ascii="Arial" w:hAnsi="Arial" w:cs="Arial"/>
          <w:sz w:val="24"/>
          <w:szCs w:val="24"/>
        </w:rPr>
      </w:pPr>
      <w:bookmarkStart w:id="5" w:name="_Hlk57883262"/>
    </w:p>
    <w:p w14:paraId="0F7D685A" w14:textId="77777777" w:rsidR="004F5ED2" w:rsidRPr="00806B47" w:rsidRDefault="004F5ED2" w:rsidP="004F5ED2">
      <w:pPr>
        <w:tabs>
          <w:tab w:val="left" w:pos="567"/>
        </w:tabs>
        <w:ind w:left="564" w:hanging="564"/>
        <w:jc w:val="both"/>
        <w:rPr>
          <w:rFonts w:ascii="Arial" w:hAnsi="Arial" w:cs="Arial"/>
          <w:sz w:val="24"/>
          <w:szCs w:val="24"/>
        </w:rPr>
      </w:pPr>
      <w:r w:rsidRPr="00806B47">
        <w:rPr>
          <w:rFonts w:ascii="Arial" w:hAnsi="Arial" w:cs="Arial"/>
          <w:sz w:val="24"/>
          <w:szCs w:val="24"/>
        </w:rPr>
        <w:t>3.1</w:t>
      </w:r>
      <w:r w:rsidRPr="00806B47">
        <w:rPr>
          <w:rFonts w:ascii="Arial" w:hAnsi="Arial" w:cs="Arial"/>
          <w:sz w:val="24"/>
          <w:szCs w:val="24"/>
        </w:rPr>
        <w:tab/>
        <w:t>In accordance with MFMA Circular No. 51, all Municipal Councils must consider and approve a virements policy that provides clear guidance to Managers within the municipality regarding the manner in which shifting of funds between items, projects, programmes and votes may occur.</w:t>
      </w:r>
    </w:p>
    <w:p w14:paraId="591906B5" w14:textId="77777777" w:rsidR="004F5ED2" w:rsidRPr="00806B47" w:rsidRDefault="004F5ED2" w:rsidP="004F5ED2">
      <w:pPr>
        <w:ind w:left="567"/>
        <w:jc w:val="both"/>
        <w:rPr>
          <w:rFonts w:ascii="Arial" w:hAnsi="Arial" w:cs="Arial"/>
          <w:sz w:val="24"/>
          <w:szCs w:val="24"/>
        </w:rPr>
      </w:pPr>
      <w:r w:rsidRPr="00806B47">
        <w:rPr>
          <w:rFonts w:ascii="Arial" w:hAnsi="Arial" w:cs="Arial"/>
          <w:sz w:val="24"/>
          <w:szCs w:val="24"/>
        </w:rPr>
        <w:t xml:space="preserve">This is further reiterated in MFMA Circular 89, which indicates that the impact of mSCOA on the virement policy must be considered in accordance with MFMA Circular No. 51 and the principles must be incorporated into municipal virement policies. </w:t>
      </w:r>
    </w:p>
    <w:p w14:paraId="30232891" w14:textId="77777777" w:rsidR="004F5ED2" w:rsidRPr="00806B47" w:rsidRDefault="004F5ED2" w:rsidP="004F5ED2">
      <w:pPr>
        <w:ind w:left="567"/>
        <w:jc w:val="both"/>
        <w:rPr>
          <w:rFonts w:ascii="Arial" w:hAnsi="Arial" w:cs="Arial"/>
          <w:sz w:val="24"/>
          <w:szCs w:val="24"/>
        </w:rPr>
      </w:pPr>
      <w:r w:rsidRPr="00806B47">
        <w:rPr>
          <w:rFonts w:ascii="Arial" w:hAnsi="Arial" w:cs="Arial"/>
          <w:sz w:val="24"/>
          <w:szCs w:val="24"/>
        </w:rPr>
        <w:t xml:space="preserve">It also emphasised that the policy must indicate how the virement process must be managed within the municipality to enable the tracking and reporting of funding shifts. </w:t>
      </w:r>
    </w:p>
    <w:p w14:paraId="4FD82235" w14:textId="77777777" w:rsidR="004F5ED2" w:rsidRPr="00806B47" w:rsidRDefault="004F5ED2" w:rsidP="004F5ED2">
      <w:pPr>
        <w:pStyle w:val="ListParagraph"/>
        <w:tabs>
          <w:tab w:val="left" w:pos="567"/>
        </w:tabs>
        <w:spacing w:after="0" w:line="276" w:lineRule="auto"/>
        <w:ind w:left="564"/>
        <w:jc w:val="both"/>
        <w:rPr>
          <w:rFonts w:ascii="Arial" w:hAnsi="Arial" w:cs="Arial"/>
          <w:sz w:val="24"/>
          <w:szCs w:val="24"/>
        </w:rPr>
      </w:pPr>
    </w:p>
    <w:p w14:paraId="31A53BCC" w14:textId="77777777" w:rsidR="004F5ED2" w:rsidRPr="00806B47" w:rsidRDefault="004F5ED2" w:rsidP="004F5ED2">
      <w:pPr>
        <w:pStyle w:val="Heading1"/>
        <w:numPr>
          <w:ilvl w:val="0"/>
          <w:numId w:val="16"/>
        </w:numPr>
        <w:tabs>
          <w:tab w:val="left" w:pos="567"/>
        </w:tabs>
        <w:spacing w:before="0" w:line="276" w:lineRule="auto"/>
        <w:ind w:left="567" w:hanging="567"/>
        <w:jc w:val="both"/>
        <w:rPr>
          <w:rFonts w:ascii="Arial" w:hAnsi="Arial" w:cs="Arial"/>
          <w:b/>
          <w:bCs/>
          <w:sz w:val="24"/>
          <w:szCs w:val="24"/>
        </w:rPr>
      </w:pPr>
      <w:bookmarkStart w:id="6" w:name="_Toc66441079"/>
      <w:bookmarkEnd w:id="5"/>
      <w:r w:rsidRPr="00806B47">
        <w:rPr>
          <w:rFonts w:ascii="Arial" w:hAnsi="Arial" w:cs="Arial"/>
          <w:b/>
          <w:bCs/>
          <w:sz w:val="24"/>
          <w:szCs w:val="24"/>
        </w:rPr>
        <w:t>PURPOSE AND OBJECTIVES OF THE POLICY</w:t>
      </w:r>
      <w:bookmarkEnd w:id="6"/>
    </w:p>
    <w:p w14:paraId="2AF3D435" w14:textId="77777777" w:rsidR="004F5ED2" w:rsidRPr="00806B47" w:rsidRDefault="004F5ED2" w:rsidP="004F5ED2">
      <w:pPr>
        <w:spacing w:after="0" w:line="276" w:lineRule="auto"/>
        <w:jc w:val="both"/>
        <w:rPr>
          <w:rFonts w:ascii="Arial" w:hAnsi="Arial" w:cs="Arial"/>
          <w:sz w:val="24"/>
          <w:szCs w:val="24"/>
        </w:rPr>
      </w:pPr>
    </w:p>
    <w:p w14:paraId="6720B996" w14:textId="77777777" w:rsidR="004F5ED2" w:rsidRPr="00806B47" w:rsidRDefault="004F5ED2" w:rsidP="004F5ED2">
      <w:pPr>
        <w:pStyle w:val="ListParagraph"/>
        <w:numPr>
          <w:ilvl w:val="1"/>
          <w:numId w:val="16"/>
        </w:numPr>
        <w:tabs>
          <w:tab w:val="left" w:pos="567"/>
        </w:tabs>
        <w:spacing w:after="0" w:line="276" w:lineRule="auto"/>
        <w:jc w:val="both"/>
        <w:rPr>
          <w:rFonts w:ascii="Arial" w:hAnsi="Arial" w:cs="Arial"/>
          <w:sz w:val="24"/>
          <w:szCs w:val="24"/>
        </w:rPr>
      </w:pPr>
      <w:r w:rsidRPr="00806B47">
        <w:rPr>
          <w:rFonts w:ascii="Arial" w:hAnsi="Arial" w:cs="Arial"/>
          <w:sz w:val="24"/>
          <w:szCs w:val="24"/>
        </w:rPr>
        <w:t xml:space="preserve">The objective of the Virements Policy is to set out: </w:t>
      </w:r>
    </w:p>
    <w:p w14:paraId="6D7CA281" w14:textId="77777777" w:rsidR="004F5ED2" w:rsidRPr="00806B47" w:rsidRDefault="004F5ED2" w:rsidP="004F5ED2">
      <w:pPr>
        <w:pStyle w:val="ListParagraph"/>
        <w:tabs>
          <w:tab w:val="left" w:pos="567"/>
        </w:tabs>
        <w:spacing w:after="0" w:line="276" w:lineRule="auto"/>
        <w:ind w:left="564"/>
        <w:jc w:val="both"/>
        <w:rPr>
          <w:rFonts w:ascii="Arial" w:hAnsi="Arial" w:cs="Arial"/>
          <w:sz w:val="24"/>
          <w:szCs w:val="24"/>
        </w:rPr>
      </w:pPr>
    </w:p>
    <w:p w14:paraId="61732818" w14:textId="77777777" w:rsidR="004F5ED2" w:rsidRPr="00806B47" w:rsidRDefault="004F5ED2" w:rsidP="004F5ED2">
      <w:pPr>
        <w:pStyle w:val="ListParagraph"/>
        <w:numPr>
          <w:ilvl w:val="1"/>
          <w:numId w:val="21"/>
        </w:numPr>
        <w:tabs>
          <w:tab w:val="left" w:pos="1134"/>
        </w:tabs>
        <w:spacing w:after="0" w:line="276" w:lineRule="auto"/>
        <w:ind w:left="1134" w:hanging="567"/>
        <w:jc w:val="both"/>
        <w:rPr>
          <w:rFonts w:ascii="Arial" w:hAnsi="Arial" w:cs="Arial"/>
          <w:sz w:val="24"/>
          <w:szCs w:val="24"/>
        </w:rPr>
      </w:pPr>
      <w:r w:rsidRPr="00806B47">
        <w:rPr>
          <w:rFonts w:ascii="Arial" w:hAnsi="Arial" w:cs="Arial"/>
          <w:sz w:val="24"/>
          <w:szCs w:val="24"/>
        </w:rPr>
        <w:t>Provide guidance to managers/directors for each business unit/section in the manner in which shifting of funds between items, projects, programmes within their areas of responsibilities may occur.</w:t>
      </w:r>
    </w:p>
    <w:p w14:paraId="19D61D07" w14:textId="77777777" w:rsidR="004F5ED2" w:rsidRPr="00806B47" w:rsidRDefault="004F5ED2" w:rsidP="004F5ED2">
      <w:pPr>
        <w:pStyle w:val="ListParagraph"/>
        <w:tabs>
          <w:tab w:val="left" w:pos="1134"/>
        </w:tabs>
        <w:spacing w:after="0" w:line="276" w:lineRule="auto"/>
        <w:ind w:left="1134" w:hanging="567"/>
        <w:jc w:val="both"/>
        <w:rPr>
          <w:rFonts w:ascii="Arial" w:hAnsi="Arial" w:cs="Arial"/>
          <w:sz w:val="24"/>
          <w:szCs w:val="24"/>
        </w:rPr>
      </w:pPr>
    </w:p>
    <w:p w14:paraId="46245622" w14:textId="77777777" w:rsidR="004F5ED2" w:rsidRPr="00806B47" w:rsidRDefault="004F5ED2" w:rsidP="004F5ED2">
      <w:pPr>
        <w:pStyle w:val="ListParagraph"/>
        <w:numPr>
          <w:ilvl w:val="1"/>
          <w:numId w:val="21"/>
        </w:numPr>
        <w:tabs>
          <w:tab w:val="left" w:pos="1134"/>
        </w:tabs>
        <w:spacing w:after="0" w:line="276" w:lineRule="auto"/>
        <w:ind w:left="1134" w:hanging="567"/>
        <w:jc w:val="both"/>
        <w:rPr>
          <w:rFonts w:ascii="Arial" w:hAnsi="Arial" w:cs="Arial"/>
          <w:sz w:val="24"/>
          <w:szCs w:val="24"/>
        </w:rPr>
      </w:pPr>
      <w:r w:rsidRPr="00806B47">
        <w:rPr>
          <w:rFonts w:ascii="Arial" w:hAnsi="Arial" w:cs="Arial"/>
          <w:sz w:val="24"/>
          <w:szCs w:val="24"/>
        </w:rPr>
        <w:t>Comply with the Municipal Finance Management Act, the Municipal Budget and Reporting Regulations and Municipal Standard Chart of Accounts Regulation to implement a council approved virement policy, taking into account the requirements of these Acts and Regulations.</w:t>
      </w:r>
    </w:p>
    <w:p w14:paraId="7B091FDA" w14:textId="77777777" w:rsidR="004F5ED2" w:rsidRPr="00806B47" w:rsidRDefault="004F5ED2" w:rsidP="004F5ED2">
      <w:pPr>
        <w:pStyle w:val="ListParagraph"/>
        <w:tabs>
          <w:tab w:val="left" w:pos="1134"/>
        </w:tabs>
        <w:ind w:left="1134" w:hanging="567"/>
        <w:rPr>
          <w:rFonts w:ascii="Arial" w:hAnsi="Arial" w:cs="Arial"/>
          <w:sz w:val="24"/>
          <w:szCs w:val="24"/>
        </w:rPr>
      </w:pPr>
    </w:p>
    <w:p w14:paraId="2817F5AB" w14:textId="77777777" w:rsidR="004F5ED2" w:rsidRPr="00806B47" w:rsidRDefault="004F5ED2" w:rsidP="004F5ED2">
      <w:pPr>
        <w:pStyle w:val="ListParagraph"/>
        <w:numPr>
          <w:ilvl w:val="1"/>
          <w:numId w:val="21"/>
        </w:numPr>
        <w:tabs>
          <w:tab w:val="left" w:pos="1134"/>
        </w:tabs>
        <w:spacing w:after="0" w:line="276" w:lineRule="auto"/>
        <w:ind w:left="1134" w:hanging="567"/>
        <w:jc w:val="both"/>
        <w:rPr>
          <w:rFonts w:ascii="Arial" w:hAnsi="Arial" w:cs="Arial"/>
          <w:sz w:val="24"/>
          <w:szCs w:val="24"/>
        </w:rPr>
      </w:pPr>
      <w:r w:rsidRPr="00806B47">
        <w:rPr>
          <w:rFonts w:ascii="Arial" w:hAnsi="Arial" w:cs="Arial"/>
          <w:sz w:val="24"/>
          <w:szCs w:val="24"/>
        </w:rPr>
        <w:t xml:space="preserve">Enhance the effective use of resources during the financial year by ensuring adequate funding is available to finance expenditure that is incurred in a particular department, sub-department and functional area by offsetting or </w:t>
      </w:r>
      <w:r w:rsidRPr="00806B47">
        <w:rPr>
          <w:rFonts w:ascii="Arial" w:hAnsi="Arial" w:cs="Arial"/>
          <w:sz w:val="24"/>
          <w:szCs w:val="24"/>
        </w:rPr>
        <w:lastRenderedPageBreak/>
        <w:t>transferring savings in another department, sub-department and functional area.</w:t>
      </w:r>
    </w:p>
    <w:p w14:paraId="3A38642F" w14:textId="77777777" w:rsidR="004F5ED2" w:rsidRPr="00806B47" w:rsidRDefault="004F5ED2" w:rsidP="004F5ED2">
      <w:pPr>
        <w:pStyle w:val="ListParagraph"/>
        <w:tabs>
          <w:tab w:val="left" w:pos="1134"/>
        </w:tabs>
        <w:spacing w:after="0" w:line="276" w:lineRule="auto"/>
        <w:ind w:left="1134" w:hanging="567"/>
        <w:jc w:val="both"/>
        <w:rPr>
          <w:rFonts w:ascii="Arial" w:hAnsi="Arial" w:cs="Arial"/>
          <w:sz w:val="24"/>
          <w:szCs w:val="24"/>
        </w:rPr>
      </w:pPr>
    </w:p>
    <w:p w14:paraId="2068285B" w14:textId="77777777" w:rsidR="004F5ED2" w:rsidRPr="00806B47" w:rsidRDefault="004F5ED2" w:rsidP="004F5ED2">
      <w:pPr>
        <w:pStyle w:val="ListParagraph"/>
        <w:numPr>
          <w:ilvl w:val="1"/>
          <w:numId w:val="21"/>
        </w:numPr>
        <w:tabs>
          <w:tab w:val="left" w:pos="1134"/>
        </w:tabs>
        <w:spacing w:after="0" w:line="276" w:lineRule="auto"/>
        <w:ind w:left="1134" w:hanging="567"/>
        <w:jc w:val="both"/>
        <w:rPr>
          <w:rFonts w:ascii="Arial" w:hAnsi="Arial" w:cs="Arial"/>
          <w:sz w:val="24"/>
          <w:szCs w:val="24"/>
        </w:rPr>
      </w:pPr>
      <w:r w:rsidRPr="00806B47">
        <w:rPr>
          <w:rFonts w:ascii="Arial" w:hAnsi="Arial" w:cs="Arial"/>
          <w:sz w:val="24"/>
          <w:szCs w:val="24"/>
        </w:rPr>
        <w:t>Allow limited flexibility in the use of budgeted funds to enable management to act on occasions such as disasters, unforeseen/unavoidable expenditure as they arise to accelerate service delivery in a financially responsible manner.</w:t>
      </w:r>
    </w:p>
    <w:p w14:paraId="56E0F742" w14:textId="77777777" w:rsidR="004F5ED2" w:rsidRPr="00806B47" w:rsidRDefault="004F5ED2" w:rsidP="004F5ED2">
      <w:pPr>
        <w:tabs>
          <w:tab w:val="left" w:pos="1134"/>
        </w:tabs>
        <w:spacing w:after="0" w:line="276" w:lineRule="auto"/>
        <w:ind w:left="1134" w:hanging="567"/>
        <w:jc w:val="both"/>
        <w:rPr>
          <w:rFonts w:ascii="Arial" w:hAnsi="Arial" w:cs="Arial"/>
          <w:sz w:val="24"/>
          <w:szCs w:val="24"/>
        </w:rPr>
      </w:pPr>
    </w:p>
    <w:p w14:paraId="0F7A94C4" w14:textId="77777777" w:rsidR="004F5ED2" w:rsidRPr="00806B47" w:rsidRDefault="004F5ED2" w:rsidP="004F5ED2">
      <w:pPr>
        <w:tabs>
          <w:tab w:val="left" w:pos="567"/>
        </w:tabs>
        <w:spacing w:after="0" w:line="276" w:lineRule="auto"/>
        <w:jc w:val="both"/>
        <w:rPr>
          <w:rFonts w:ascii="Arial" w:hAnsi="Arial" w:cs="Arial"/>
          <w:sz w:val="24"/>
          <w:szCs w:val="24"/>
        </w:rPr>
      </w:pPr>
    </w:p>
    <w:p w14:paraId="6CA9EB5B" w14:textId="77777777" w:rsidR="004F5ED2" w:rsidRPr="00806B47" w:rsidRDefault="004F5ED2" w:rsidP="004F5ED2">
      <w:pPr>
        <w:pStyle w:val="ListParagraph"/>
        <w:keepNext/>
        <w:keepLines/>
        <w:widowControl w:val="0"/>
        <w:numPr>
          <w:ilvl w:val="0"/>
          <w:numId w:val="16"/>
        </w:numPr>
        <w:tabs>
          <w:tab w:val="left" w:pos="567"/>
        </w:tabs>
        <w:autoSpaceDE w:val="0"/>
        <w:autoSpaceDN w:val="0"/>
        <w:spacing w:after="0" w:line="276" w:lineRule="auto"/>
        <w:ind w:left="567" w:right="121" w:hanging="567"/>
        <w:jc w:val="both"/>
        <w:outlineLvl w:val="0"/>
        <w:rPr>
          <w:rFonts w:ascii="Arial" w:hAnsi="Arial" w:cs="Arial"/>
          <w:color w:val="FF0000"/>
          <w:sz w:val="24"/>
          <w:szCs w:val="24"/>
        </w:rPr>
      </w:pPr>
      <w:bookmarkStart w:id="7" w:name="_Toc66441080"/>
      <w:r w:rsidRPr="00806B47">
        <w:rPr>
          <w:rFonts w:ascii="Arial" w:eastAsiaTheme="majorEastAsia" w:hAnsi="Arial" w:cs="Arial"/>
          <w:b/>
          <w:bCs/>
          <w:color w:val="FF0000"/>
          <w:sz w:val="24"/>
          <w:szCs w:val="24"/>
        </w:rPr>
        <w:t>VIREMENTS PERMISSIBLE</w:t>
      </w:r>
      <w:bookmarkEnd w:id="7"/>
    </w:p>
    <w:p w14:paraId="4DB6FF30" w14:textId="77777777" w:rsidR="004F5ED2" w:rsidRPr="00806B47" w:rsidRDefault="004F5ED2" w:rsidP="004F5ED2">
      <w:pPr>
        <w:widowControl w:val="0"/>
        <w:tabs>
          <w:tab w:val="left" w:pos="567"/>
          <w:tab w:val="left" w:pos="1134"/>
        </w:tabs>
        <w:autoSpaceDE w:val="0"/>
        <w:autoSpaceDN w:val="0"/>
        <w:spacing w:after="0" w:line="276" w:lineRule="auto"/>
        <w:ind w:right="121"/>
        <w:jc w:val="both"/>
        <w:rPr>
          <w:rFonts w:ascii="Arial" w:hAnsi="Arial" w:cs="Arial"/>
          <w:color w:val="FF0000"/>
          <w:sz w:val="24"/>
          <w:szCs w:val="24"/>
        </w:rPr>
      </w:pPr>
    </w:p>
    <w:p w14:paraId="0068BB78" w14:textId="77777777" w:rsidR="004F5ED2" w:rsidRPr="00806B47" w:rsidRDefault="004F5ED2" w:rsidP="004F5ED2">
      <w:pPr>
        <w:widowControl w:val="0"/>
        <w:tabs>
          <w:tab w:val="left" w:pos="567"/>
          <w:tab w:val="left" w:pos="1134"/>
        </w:tabs>
        <w:autoSpaceDE w:val="0"/>
        <w:autoSpaceDN w:val="0"/>
        <w:spacing w:after="0" w:line="276" w:lineRule="auto"/>
        <w:ind w:left="567" w:right="121" w:hanging="567"/>
        <w:jc w:val="both"/>
        <w:rPr>
          <w:rFonts w:ascii="Arial" w:hAnsi="Arial" w:cs="Arial"/>
          <w:color w:val="FF0000"/>
          <w:sz w:val="24"/>
          <w:szCs w:val="24"/>
        </w:rPr>
      </w:pPr>
      <w:r w:rsidRPr="00806B47">
        <w:rPr>
          <w:rFonts w:ascii="Arial" w:hAnsi="Arial" w:cs="Arial"/>
          <w:color w:val="FF0000"/>
          <w:sz w:val="24"/>
          <w:szCs w:val="24"/>
        </w:rPr>
        <w:t>5.1</w:t>
      </w:r>
      <w:r w:rsidRPr="00806B47">
        <w:rPr>
          <w:rFonts w:ascii="Arial" w:hAnsi="Arial" w:cs="Arial"/>
          <w:color w:val="FF0000"/>
          <w:sz w:val="24"/>
          <w:szCs w:val="24"/>
        </w:rPr>
        <w:tab/>
        <w:t>The following virements are permissible for municipalities:</w:t>
      </w:r>
    </w:p>
    <w:p w14:paraId="4CEC94B4" w14:textId="77777777" w:rsidR="004F5ED2" w:rsidRPr="00806B47" w:rsidRDefault="004F5ED2" w:rsidP="004F5ED2">
      <w:pPr>
        <w:widowControl w:val="0"/>
        <w:tabs>
          <w:tab w:val="left" w:pos="567"/>
          <w:tab w:val="left" w:pos="1134"/>
        </w:tabs>
        <w:autoSpaceDE w:val="0"/>
        <w:autoSpaceDN w:val="0"/>
        <w:spacing w:after="0" w:line="276" w:lineRule="auto"/>
        <w:ind w:right="121"/>
        <w:jc w:val="both"/>
        <w:rPr>
          <w:rFonts w:ascii="Arial" w:hAnsi="Arial" w:cs="Arial"/>
          <w:color w:val="FF0000"/>
          <w:sz w:val="24"/>
          <w:szCs w:val="24"/>
        </w:rPr>
      </w:pPr>
    </w:p>
    <w:p w14:paraId="2B119A61" w14:textId="77777777" w:rsidR="004F5ED2" w:rsidRPr="00806B47" w:rsidRDefault="004F5ED2" w:rsidP="004F5ED2">
      <w:pPr>
        <w:pStyle w:val="ListParagraph"/>
        <w:widowControl w:val="0"/>
        <w:numPr>
          <w:ilvl w:val="0"/>
          <w:numId w:val="22"/>
        </w:numPr>
        <w:tabs>
          <w:tab w:val="left" w:pos="1134"/>
        </w:tabs>
        <w:autoSpaceDE w:val="0"/>
        <w:autoSpaceDN w:val="0"/>
        <w:spacing w:after="0" w:line="276" w:lineRule="auto"/>
        <w:ind w:left="1134" w:right="121" w:hanging="425"/>
        <w:jc w:val="both"/>
        <w:rPr>
          <w:rFonts w:ascii="Arial" w:hAnsi="Arial" w:cs="Arial"/>
          <w:color w:val="FF0000"/>
          <w:sz w:val="24"/>
          <w:szCs w:val="24"/>
        </w:rPr>
      </w:pPr>
      <w:r w:rsidRPr="00806B47">
        <w:rPr>
          <w:rFonts w:ascii="Arial" w:hAnsi="Arial" w:cs="Arial"/>
          <w:color w:val="FF0000"/>
          <w:sz w:val="24"/>
          <w:szCs w:val="24"/>
        </w:rPr>
        <w:t>Virements between votes where the proposed shifts in funding facilitate sound risk and financial management; and</w:t>
      </w:r>
    </w:p>
    <w:p w14:paraId="5D5C4D0F" w14:textId="77777777" w:rsidR="004F5ED2" w:rsidRPr="00806B47" w:rsidRDefault="004F5ED2" w:rsidP="004F5ED2">
      <w:pPr>
        <w:widowControl w:val="0"/>
        <w:tabs>
          <w:tab w:val="left" w:pos="1134"/>
        </w:tabs>
        <w:autoSpaceDE w:val="0"/>
        <w:autoSpaceDN w:val="0"/>
        <w:spacing w:after="0" w:line="276" w:lineRule="auto"/>
        <w:ind w:left="1134" w:right="121" w:hanging="425"/>
        <w:jc w:val="both"/>
        <w:rPr>
          <w:rFonts w:ascii="Arial" w:hAnsi="Arial" w:cs="Arial"/>
          <w:color w:val="FF0000"/>
          <w:sz w:val="24"/>
          <w:szCs w:val="24"/>
        </w:rPr>
      </w:pPr>
    </w:p>
    <w:p w14:paraId="39051FC7" w14:textId="77777777" w:rsidR="004F5ED2" w:rsidRPr="00806B47" w:rsidRDefault="004F5ED2" w:rsidP="004F5ED2">
      <w:pPr>
        <w:pStyle w:val="ListParagraph"/>
        <w:widowControl w:val="0"/>
        <w:numPr>
          <w:ilvl w:val="0"/>
          <w:numId w:val="22"/>
        </w:numPr>
        <w:tabs>
          <w:tab w:val="left" w:pos="1134"/>
        </w:tabs>
        <w:autoSpaceDE w:val="0"/>
        <w:autoSpaceDN w:val="0"/>
        <w:spacing w:after="0" w:line="276" w:lineRule="auto"/>
        <w:ind w:left="1134" w:right="121" w:hanging="425"/>
        <w:jc w:val="both"/>
        <w:rPr>
          <w:rFonts w:ascii="Arial" w:hAnsi="Arial" w:cs="Arial"/>
          <w:color w:val="FF0000"/>
          <w:sz w:val="24"/>
          <w:szCs w:val="24"/>
        </w:rPr>
      </w:pPr>
      <w:r w:rsidRPr="00806B47">
        <w:rPr>
          <w:rFonts w:ascii="Arial" w:hAnsi="Arial" w:cs="Arial"/>
          <w:color w:val="FF0000"/>
          <w:sz w:val="24"/>
          <w:szCs w:val="24"/>
        </w:rPr>
        <w:t xml:space="preserve">Virements may be approved to a maximum of </w:t>
      </w:r>
      <w:r w:rsidRPr="00806B47">
        <w:rPr>
          <w:rFonts w:ascii="Arial" w:hAnsi="Arial" w:cs="Arial"/>
          <w:b/>
          <w:bCs/>
          <w:color w:val="FF0000"/>
          <w:sz w:val="24"/>
          <w:szCs w:val="24"/>
        </w:rPr>
        <w:t>5</w:t>
      </w:r>
      <w:r w:rsidRPr="00806B47">
        <w:rPr>
          <w:rFonts w:ascii="Arial" w:hAnsi="Arial" w:cs="Arial"/>
          <w:color w:val="FF0000"/>
          <w:sz w:val="24"/>
          <w:szCs w:val="24"/>
        </w:rPr>
        <w:t>% of a vote for operational expenditure from one vote to another;</w:t>
      </w:r>
    </w:p>
    <w:p w14:paraId="14A0DB47" w14:textId="77777777" w:rsidR="004F5ED2" w:rsidRPr="00806B47" w:rsidRDefault="004F5ED2" w:rsidP="004F5ED2">
      <w:pPr>
        <w:pStyle w:val="ListParagraph"/>
        <w:rPr>
          <w:rFonts w:ascii="Arial" w:hAnsi="Arial" w:cs="Arial"/>
          <w:color w:val="FF0000"/>
          <w:sz w:val="24"/>
          <w:szCs w:val="24"/>
        </w:rPr>
      </w:pPr>
    </w:p>
    <w:p w14:paraId="7A08FF4B" w14:textId="77777777" w:rsidR="004F5ED2" w:rsidRPr="00806B47" w:rsidRDefault="004F5ED2" w:rsidP="004F5ED2">
      <w:pPr>
        <w:pStyle w:val="ListParagraph"/>
        <w:widowControl w:val="0"/>
        <w:numPr>
          <w:ilvl w:val="0"/>
          <w:numId w:val="22"/>
        </w:numPr>
        <w:tabs>
          <w:tab w:val="left" w:pos="1134"/>
        </w:tabs>
        <w:autoSpaceDE w:val="0"/>
        <w:autoSpaceDN w:val="0"/>
        <w:spacing w:after="0" w:line="276" w:lineRule="auto"/>
        <w:ind w:left="1134" w:right="121" w:hanging="425"/>
        <w:jc w:val="both"/>
        <w:rPr>
          <w:rFonts w:ascii="Arial" w:hAnsi="Arial" w:cs="Arial"/>
          <w:color w:val="FF0000"/>
          <w:sz w:val="24"/>
          <w:szCs w:val="24"/>
        </w:rPr>
      </w:pPr>
      <w:r w:rsidRPr="00806B47">
        <w:rPr>
          <w:rFonts w:ascii="Arial" w:hAnsi="Arial" w:cs="Arial"/>
          <w:color w:val="FF0000"/>
          <w:sz w:val="24"/>
          <w:szCs w:val="24"/>
        </w:rPr>
        <w:t xml:space="preserve">Virements may be approved to a maximum of </w:t>
      </w:r>
      <w:r w:rsidRPr="00806B47">
        <w:rPr>
          <w:rFonts w:ascii="Arial" w:hAnsi="Arial" w:cs="Arial"/>
          <w:b/>
          <w:bCs/>
          <w:color w:val="FF0000"/>
          <w:sz w:val="24"/>
          <w:szCs w:val="24"/>
        </w:rPr>
        <w:t>8</w:t>
      </w:r>
      <w:r w:rsidRPr="00806B47">
        <w:rPr>
          <w:rFonts w:ascii="Arial" w:hAnsi="Arial" w:cs="Arial"/>
          <w:color w:val="FF0000"/>
          <w:sz w:val="24"/>
          <w:szCs w:val="24"/>
        </w:rPr>
        <w:t>% of a vote for capital expenditure from one vote to another;</w:t>
      </w:r>
    </w:p>
    <w:p w14:paraId="4636CB8B" w14:textId="77777777" w:rsidR="004F5ED2" w:rsidRPr="00806B47" w:rsidRDefault="004F5ED2" w:rsidP="004F5ED2">
      <w:pPr>
        <w:pStyle w:val="ListParagraph"/>
        <w:rPr>
          <w:rFonts w:ascii="Arial" w:hAnsi="Arial" w:cs="Arial"/>
          <w:color w:val="FF0000"/>
          <w:sz w:val="24"/>
          <w:szCs w:val="24"/>
        </w:rPr>
      </w:pPr>
    </w:p>
    <w:p w14:paraId="3F2B7188" w14:textId="77777777" w:rsidR="004F5ED2" w:rsidRPr="00806B47" w:rsidRDefault="004F5ED2" w:rsidP="004F5ED2">
      <w:pPr>
        <w:pStyle w:val="ListParagraph"/>
        <w:widowControl w:val="0"/>
        <w:numPr>
          <w:ilvl w:val="0"/>
          <w:numId w:val="22"/>
        </w:numPr>
        <w:tabs>
          <w:tab w:val="left" w:pos="1134"/>
        </w:tabs>
        <w:autoSpaceDE w:val="0"/>
        <w:autoSpaceDN w:val="0"/>
        <w:spacing w:after="0" w:line="276" w:lineRule="auto"/>
        <w:ind w:left="1134" w:right="121" w:hanging="425"/>
        <w:jc w:val="both"/>
        <w:rPr>
          <w:rFonts w:ascii="Arial" w:hAnsi="Arial" w:cs="Arial"/>
          <w:color w:val="FF0000"/>
          <w:sz w:val="24"/>
          <w:szCs w:val="24"/>
        </w:rPr>
      </w:pPr>
      <w:r w:rsidRPr="00806B47">
        <w:rPr>
          <w:rFonts w:ascii="Arial" w:hAnsi="Arial" w:cs="Arial"/>
          <w:color w:val="FF0000"/>
          <w:sz w:val="24"/>
          <w:szCs w:val="24"/>
        </w:rPr>
        <w:t xml:space="preserve">Virements with a vote may be approved not exceeding a maximum of </w:t>
      </w:r>
      <w:r w:rsidRPr="00806B47">
        <w:rPr>
          <w:rFonts w:ascii="Arial" w:hAnsi="Arial" w:cs="Arial"/>
          <w:b/>
          <w:bCs/>
          <w:color w:val="FF0000"/>
          <w:sz w:val="24"/>
          <w:szCs w:val="24"/>
        </w:rPr>
        <w:t>5</w:t>
      </w:r>
      <w:r w:rsidRPr="00806B47">
        <w:rPr>
          <w:rFonts w:ascii="Arial" w:hAnsi="Arial" w:cs="Arial"/>
          <w:color w:val="FF0000"/>
          <w:sz w:val="24"/>
          <w:szCs w:val="24"/>
        </w:rPr>
        <w:t>% of a vote for operational expenditure from one item to another within a vote.</w:t>
      </w:r>
    </w:p>
    <w:p w14:paraId="00AF46AD" w14:textId="77777777" w:rsidR="004F5ED2" w:rsidRPr="00806B47" w:rsidRDefault="004F5ED2" w:rsidP="004F5ED2">
      <w:pPr>
        <w:pStyle w:val="ListParagraph"/>
        <w:rPr>
          <w:rFonts w:ascii="Arial" w:hAnsi="Arial" w:cs="Arial"/>
          <w:color w:val="FF0000"/>
          <w:sz w:val="24"/>
          <w:szCs w:val="24"/>
        </w:rPr>
      </w:pPr>
    </w:p>
    <w:p w14:paraId="5F370D46" w14:textId="77777777" w:rsidR="004F5ED2" w:rsidRPr="00806B47" w:rsidRDefault="004F5ED2" w:rsidP="004F5ED2">
      <w:pPr>
        <w:pStyle w:val="ListParagraph"/>
        <w:widowControl w:val="0"/>
        <w:numPr>
          <w:ilvl w:val="0"/>
          <w:numId w:val="22"/>
        </w:numPr>
        <w:tabs>
          <w:tab w:val="left" w:pos="1134"/>
        </w:tabs>
        <w:autoSpaceDE w:val="0"/>
        <w:autoSpaceDN w:val="0"/>
        <w:spacing w:after="0" w:line="276" w:lineRule="auto"/>
        <w:ind w:left="1134" w:right="121" w:hanging="425"/>
        <w:jc w:val="both"/>
        <w:rPr>
          <w:rFonts w:ascii="Arial" w:hAnsi="Arial" w:cs="Arial"/>
          <w:color w:val="FF0000"/>
          <w:sz w:val="24"/>
          <w:szCs w:val="24"/>
        </w:rPr>
      </w:pPr>
      <w:r w:rsidRPr="00806B47">
        <w:rPr>
          <w:rFonts w:ascii="Arial" w:hAnsi="Arial" w:cs="Arial"/>
          <w:color w:val="FF0000"/>
          <w:sz w:val="24"/>
          <w:szCs w:val="24"/>
        </w:rPr>
        <w:t>Virements with a vote may be approved no exceeding a maximum of 8% a vote for capital expenditure from one item to another within a vote.</w:t>
      </w:r>
    </w:p>
    <w:p w14:paraId="5E0519A2" w14:textId="77777777" w:rsidR="004F5ED2" w:rsidRPr="00806B47" w:rsidRDefault="004F5ED2" w:rsidP="004F5ED2">
      <w:pPr>
        <w:pStyle w:val="ListParagraph"/>
        <w:rPr>
          <w:rFonts w:ascii="Arial" w:hAnsi="Arial" w:cs="Arial"/>
          <w:color w:val="FF0000"/>
          <w:sz w:val="24"/>
          <w:szCs w:val="24"/>
        </w:rPr>
      </w:pPr>
    </w:p>
    <w:p w14:paraId="04B5540A" w14:textId="77777777" w:rsidR="004F5ED2" w:rsidRPr="00806B47" w:rsidRDefault="004F5ED2" w:rsidP="004F5ED2">
      <w:pPr>
        <w:pStyle w:val="ListParagraph"/>
        <w:widowControl w:val="0"/>
        <w:numPr>
          <w:ilvl w:val="0"/>
          <w:numId w:val="22"/>
        </w:numPr>
        <w:tabs>
          <w:tab w:val="left" w:pos="1134"/>
        </w:tabs>
        <w:autoSpaceDE w:val="0"/>
        <w:autoSpaceDN w:val="0"/>
        <w:spacing w:after="0" w:line="276" w:lineRule="auto"/>
        <w:ind w:left="1134" w:right="121" w:hanging="425"/>
        <w:jc w:val="both"/>
        <w:rPr>
          <w:rFonts w:ascii="Arial" w:hAnsi="Arial" w:cs="Arial"/>
          <w:color w:val="FF0000"/>
          <w:sz w:val="24"/>
          <w:szCs w:val="24"/>
        </w:rPr>
      </w:pPr>
      <w:r w:rsidRPr="00806B47">
        <w:rPr>
          <w:rFonts w:ascii="Arial" w:hAnsi="Arial" w:cs="Arial"/>
          <w:color w:val="FF0000"/>
          <w:sz w:val="24"/>
          <w:szCs w:val="24"/>
        </w:rPr>
        <w:t>Restricted virements in accordance with section 6 of the policy shall not be approved by the municipality.</w:t>
      </w:r>
    </w:p>
    <w:p w14:paraId="3B65C499" w14:textId="77777777" w:rsidR="004F5ED2" w:rsidRPr="00806B47" w:rsidRDefault="004F5ED2" w:rsidP="004F5ED2">
      <w:pPr>
        <w:pStyle w:val="ListParagraph"/>
        <w:rPr>
          <w:rFonts w:ascii="Arial" w:hAnsi="Arial" w:cs="Arial"/>
          <w:sz w:val="24"/>
          <w:szCs w:val="24"/>
        </w:rPr>
      </w:pPr>
    </w:p>
    <w:p w14:paraId="4A33E791" w14:textId="77777777" w:rsidR="004F5ED2" w:rsidRPr="00806B47" w:rsidRDefault="004F5ED2" w:rsidP="004F5ED2">
      <w:pPr>
        <w:pStyle w:val="Heading1"/>
        <w:numPr>
          <w:ilvl w:val="0"/>
          <w:numId w:val="16"/>
        </w:numPr>
        <w:spacing w:before="0" w:line="276" w:lineRule="auto"/>
        <w:ind w:left="567" w:hanging="567"/>
        <w:jc w:val="both"/>
        <w:rPr>
          <w:rFonts w:ascii="Arial" w:hAnsi="Arial" w:cs="Arial"/>
          <w:b/>
          <w:bCs/>
          <w:sz w:val="24"/>
          <w:szCs w:val="24"/>
        </w:rPr>
      </w:pPr>
      <w:bookmarkStart w:id="8" w:name="_Toc66441081"/>
      <w:r w:rsidRPr="00806B47">
        <w:rPr>
          <w:rFonts w:ascii="Arial" w:hAnsi="Arial" w:cs="Arial"/>
          <w:b/>
          <w:bCs/>
          <w:sz w:val="24"/>
          <w:szCs w:val="24"/>
        </w:rPr>
        <w:t>VIREMENT PRINCIPLES</w:t>
      </w:r>
      <w:bookmarkEnd w:id="8"/>
    </w:p>
    <w:p w14:paraId="4447722D" w14:textId="77777777" w:rsidR="004F5ED2" w:rsidRPr="00806B47" w:rsidRDefault="004F5ED2" w:rsidP="004F5ED2">
      <w:pPr>
        <w:pStyle w:val="ListParagraph"/>
        <w:spacing w:after="0" w:line="276" w:lineRule="auto"/>
        <w:ind w:left="360"/>
        <w:jc w:val="both"/>
        <w:rPr>
          <w:rFonts w:ascii="Arial" w:hAnsi="Arial" w:cs="Arial"/>
          <w:sz w:val="24"/>
          <w:szCs w:val="24"/>
        </w:rPr>
      </w:pPr>
    </w:p>
    <w:p w14:paraId="03F413A6" w14:textId="77777777" w:rsidR="004F5ED2" w:rsidRPr="00806B47" w:rsidRDefault="004F5ED2" w:rsidP="004F5ED2">
      <w:pPr>
        <w:pStyle w:val="ListParagraph"/>
        <w:numPr>
          <w:ilvl w:val="1"/>
          <w:numId w:val="16"/>
        </w:numPr>
        <w:tabs>
          <w:tab w:val="left" w:pos="567"/>
          <w:tab w:val="left" w:pos="1134"/>
        </w:tabs>
        <w:spacing w:after="0" w:line="276" w:lineRule="auto"/>
        <w:jc w:val="both"/>
        <w:rPr>
          <w:rFonts w:ascii="Arial" w:hAnsi="Arial" w:cs="Arial"/>
          <w:color w:val="FF0000"/>
          <w:sz w:val="24"/>
          <w:szCs w:val="24"/>
        </w:rPr>
      </w:pPr>
      <w:r w:rsidRPr="00806B47">
        <w:rPr>
          <w:rFonts w:ascii="Arial" w:hAnsi="Arial" w:cs="Arial"/>
          <w:color w:val="FF0000"/>
          <w:sz w:val="24"/>
          <w:szCs w:val="24"/>
        </w:rPr>
        <w:t>In accordance with the mSCOA Regulations, municipalities are required to budget and transact in terms of a data string that consists of seven segments.  These segments include Project, Function, Item, Fund, Region, Costing and Municipal Standard Classification.</w:t>
      </w:r>
    </w:p>
    <w:p w14:paraId="45A27EFA" w14:textId="77777777" w:rsidR="004F5ED2" w:rsidRPr="00806B47" w:rsidRDefault="004F5ED2" w:rsidP="004F5ED2">
      <w:pPr>
        <w:pStyle w:val="ListParagraph"/>
        <w:tabs>
          <w:tab w:val="left" w:pos="567"/>
          <w:tab w:val="left" w:pos="1134"/>
        </w:tabs>
        <w:spacing w:after="0" w:line="276" w:lineRule="auto"/>
        <w:ind w:left="564"/>
        <w:jc w:val="both"/>
        <w:rPr>
          <w:rFonts w:ascii="Arial" w:hAnsi="Arial" w:cs="Arial"/>
          <w:color w:val="FF0000"/>
          <w:sz w:val="24"/>
          <w:szCs w:val="24"/>
        </w:rPr>
      </w:pPr>
    </w:p>
    <w:p w14:paraId="05EE1517" w14:textId="77777777" w:rsidR="004F5ED2" w:rsidRPr="00806B47" w:rsidRDefault="004F5ED2" w:rsidP="004F5ED2">
      <w:pPr>
        <w:pStyle w:val="ListParagraph"/>
        <w:numPr>
          <w:ilvl w:val="1"/>
          <w:numId w:val="16"/>
        </w:numPr>
        <w:tabs>
          <w:tab w:val="left" w:pos="567"/>
          <w:tab w:val="left" w:pos="1134"/>
        </w:tabs>
        <w:spacing w:after="0" w:line="276" w:lineRule="auto"/>
        <w:jc w:val="both"/>
        <w:rPr>
          <w:rFonts w:ascii="Arial" w:hAnsi="Arial" w:cs="Arial"/>
          <w:color w:val="FF0000"/>
          <w:sz w:val="24"/>
          <w:szCs w:val="24"/>
        </w:rPr>
      </w:pPr>
      <w:r w:rsidRPr="00806B47">
        <w:rPr>
          <w:rFonts w:ascii="Arial" w:hAnsi="Arial" w:cs="Arial"/>
          <w:color w:val="FF0000"/>
          <w:sz w:val="24"/>
          <w:szCs w:val="24"/>
        </w:rPr>
        <w:t>When considering a virement for approval, the municipality shall consider all seven segments to ensure that the Virement Policy is being adhered to all times.</w:t>
      </w:r>
    </w:p>
    <w:p w14:paraId="19ABC5C9" w14:textId="77777777" w:rsidR="004F5ED2" w:rsidRPr="00806B47" w:rsidRDefault="004F5ED2" w:rsidP="004F5ED2">
      <w:pPr>
        <w:pStyle w:val="ListParagraph"/>
        <w:tabs>
          <w:tab w:val="left" w:pos="567"/>
          <w:tab w:val="left" w:pos="1134"/>
        </w:tabs>
        <w:spacing w:after="0" w:line="276" w:lineRule="auto"/>
        <w:ind w:left="564"/>
        <w:jc w:val="both"/>
        <w:rPr>
          <w:rFonts w:ascii="Arial" w:hAnsi="Arial" w:cs="Arial"/>
          <w:color w:val="FF0000"/>
          <w:sz w:val="24"/>
          <w:szCs w:val="24"/>
        </w:rPr>
      </w:pPr>
    </w:p>
    <w:p w14:paraId="6DCF6CDC" w14:textId="77777777" w:rsidR="004F5ED2" w:rsidRPr="00806B47" w:rsidRDefault="004F5ED2" w:rsidP="004F5ED2">
      <w:pPr>
        <w:pStyle w:val="ListParagraph"/>
        <w:numPr>
          <w:ilvl w:val="1"/>
          <w:numId w:val="16"/>
        </w:numPr>
        <w:tabs>
          <w:tab w:val="left" w:pos="567"/>
          <w:tab w:val="left" w:pos="1134"/>
        </w:tabs>
        <w:spacing w:after="0" w:line="276" w:lineRule="auto"/>
        <w:jc w:val="both"/>
        <w:rPr>
          <w:rFonts w:ascii="Arial" w:hAnsi="Arial" w:cs="Arial"/>
          <w:color w:val="FF0000"/>
          <w:sz w:val="24"/>
          <w:szCs w:val="24"/>
        </w:rPr>
      </w:pPr>
      <w:r w:rsidRPr="00806B47">
        <w:rPr>
          <w:rFonts w:ascii="Arial" w:hAnsi="Arial" w:cs="Arial"/>
          <w:color w:val="FF0000"/>
          <w:sz w:val="24"/>
          <w:szCs w:val="24"/>
        </w:rPr>
        <w:t>Virements shall only be considered for approval, in accordance with the following:</w:t>
      </w:r>
    </w:p>
    <w:p w14:paraId="499020A4" w14:textId="77777777" w:rsidR="004F5ED2" w:rsidRPr="00806B47" w:rsidRDefault="004F5ED2" w:rsidP="004F5ED2">
      <w:pPr>
        <w:pStyle w:val="ListParagraph"/>
        <w:tabs>
          <w:tab w:val="left" w:pos="567"/>
          <w:tab w:val="left" w:pos="1134"/>
        </w:tabs>
        <w:spacing w:after="0" w:line="276" w:lineRule="auto"/>
        <w:ind w:left="564"/>
        <w:jc w:val="both"/>
        <w:rPr>
          <w:rFonts w:ascii="Arial" w:hAnsi="Arial" w:cs="Arial"/>
          <w:color w:val="FF0000"/>
          <w:sz w:val="24"/>
          <w:szCs w:val="24"/>
        </w:rPr>
      </w:pPr>
      <w:r w:rsidRPr="00806B47">
        <w:rPr>
          <w:rFonts w:ascii="Arial" w:hAnsi="Arial" w:cs="Arial"/>
          <w:color w:val="FF0000"/>
          <w:sz w:val="24"/>
          <w:szCs w:val="24"/>
        </w:rPr>
        <w:lastRenderedPageBreak/>
        <w:t xml:space="preserve"> </w:t>
      </w:r>
    </w:p>
    <w:p w14:paraId="394122FF" w14:textId="77777777" w:rsidR="004F5ED2" w:rsidRPr="00806B47" w:rsidRDefault="004F5ED2" w:rsidP="004F5ED2">
      <w:pPr>
        <w:pStyle w:val="ListParagraph"/>
        <w:numPr>
          <w:ilvl w:val="0"/>
          <w:numId w:val="20"/>
        </w:numPr>
        <w:spacing w:after="0" w:line="276" w:lineRule="auto"/>
        <w:ind w:left="1134" w:hanging="425"/>
        <w:jc w:val="both"/>
        <w:rPr>
          <w:rFonts w:ascii="Arial" w:hAnsi="Arial" w:cs="Arial"/>
          <w:color w:val="FF0000"/>
          <w:sz w:val="24"/>
          <w:szCs w:val="24"/>
        </w:rPr>
      </w:pPr>
      <w:r w:rsidRPr="00806B47">
        <w:rPr>
          <w:rFonts w:ascii="Arial" w:hAnsi="Arial" w:cs="Arial"/>
          <w:color w:val="FF0000"/>
          <w:sz w:val="24"/>
          <w:szCs w:val="24"/>
        </w:rPr>
        <w:t>Virements shall not be permitted in relation to the Item: Revenue accounts of the budget</w:t>
      </w:r>
    </w:p>
    <w:p w14:paraId="12E86E4D" w14:textId="77777777" w:rsidR="004F5ED2" w:rsidRPr="00806B47" w:rsidRDefault="004F5ED2" w:rsidP="004F5ED2">
      <w:pPr>
        <w:pStyle w:val="ListParagraph"/>
        <w:spacing w:after="0" w:line="276" w:lineRule="auto"/>
        <w:ind w:left="360"/>
        <w:jc w:val="both"/>
        <w:rPr>
          <w:rFonts w:ascii="Arial" w:hAnsi="Arial" w:cs="Arial"/>
          <w:color w:val="FF0000"/>
          <w:sz w:val="24"/>
          <w:szCs w:val="24"/>
        </w:rPr>
      </w:pPr>
    </w:p>
    <w:p w14:paraId="79DC3565" w14:textId="77777777" w:rsidR="004F5ED2" w:rsidRPr="00806B47" w:rsidRDefault="004F5ED2" w:rsidP="004F5ED2">
      <w:pPr>
        <w:pStyle w:val="ListParagraph"/>
        <w:numPr>
          <w:ilvl w:val="0"/>
          <w:numId w:val="20"/>
        </w:numPr>
        <w:ind w:left="1134" w:hanging="425"/>
        <w:jc w:val="both"/>
        <w:rPr>
          <w:rFonts w:ascii="Arial" w:hAnsi="Arial" w:cs="Arial"/>
          <w:color w:val="FF0000"/>
          <w:sz w:val="24"/>
          <w:szCs w:val="24"/>
        </w:rPr>
      </w:pPr>
      <w:r w:rsidRPr="00806B47">
        <w:rPr>
          <w:rFonts w:ascii="Arial" w:hAnsi="Arial" w:cs="Arial"/>
          <w:color w:val="FF0000"/>
          <w:sz w:val="24"/>
          <w:szCs w:val="24"/>
        </w:rPr>
        <w:t>Virements shall not be permitted between the capital budget and the operating budget</w:t>
      </w:r>
    </w:p>
    <w:p w14:paraId="0FF95117" w14:textId="77777777" w:rsidR="004F5ED2" w:rsidRPr="00806B47" w:rsidRDefault="004F5ED2" w:rsidP="004F5ED2">
      <w:pPr>
        <w:pStyle w:val="ListParagraph"/>
        <w:jc w:val="both"/>
        <w:rPr>
          <w:rFonts w:ascii="Arial" w:hAnsi="Arial" w:cs="Arial"/>
          <w:color w:val="FF0000"/>
          <w:sz w:val="24"/>
          <w:szCs w:val="24"/>
        </w:rPr>
      </w:pPr>
    </w:p>
    <w:p w14:paraId="6AA89A52" w14:textId="77777777" w:rsidR="004F5ED2" w:rsidRPr="00806B47" w:rsidRDefault="004F5ED2" w:rsidP="004F5ED2">
      <w:pPr>
        <w:pStyle w:val="ListParagraph"/>
        <w:numPr>
          <w:ilvl w:val="0"/>
          <w:numId w:val="20"/>
        </w:numPr>
        <w:ind w:left="1134" w:hanging="425"/>
        <w:jc w:val="both"/>
        <w:rPr>
          <w:rFonts w:ascii="Arial" w:hAnsi="Arial" w:cs="Arial"/>
          <w:color w:val="FF0000"/>
          <w:sz w:val="24"/>
          <w:szCs w:val="24"/>
        </w:rPr>
      </w:pPr>
      <w:r w:rsidRPr="00806B47">
        <w:rPr>
          <w:rFonts w:ascii="Arial" w:hAnsi="Arial" w:cs="Arial"/>
          <w:color w:val="FF0000"/>
          <w:sz w:val="24"/>
          <w:szCs w:val="24"/>
        </w:rPr>
        <w:t>Virements shall not be permitted to increase Item: Employee Related Costs to any other Item: Expenditure classification</w:t>
      </w:r>
    </w:p>
    <w:p w14:paraId="61353A1E" w14:textId="77777777" w:rsidR="004F5ED2" w:rsidRPr="00806B47" w:rsidRDefault="004F5ED2" w:rsidP="004F5ED2">
      <w:pPr>
        <w:pStyle w:val="ListParagraph"/>
        <w:rPr>
          <w:rFonts w:ascii="Arial" w:hAnsi="Arial" w:cs="Arial"/>
          <w:color w:val="FF0000"/>
          <w:sz w:val="24"/>
          <w:szCs w:val="24"/>
        </w:rPr>
      </w:pPr>
    </w:p>
    <w:p w14:paraId="5203742D" w14:textId="77777777" w:rsidR="004F5ED2" w:rsidRPr="00806B47" w:rsidRDefault="004F5ED2" w:rsidP="004F5ED2">
      <w:pPr>
        <w:pStyle w:val="ListParagraph"/>
        <w:numPr>
          <w:ilvl w:val="0"/>
          <w:numId w:val="20"/>
        </w:numPr>
        <w:ind w:left="1134" w:hanging="425"/>
        <w:jc w:val="both"/>
        <w:rPr>
          <w:rFonts w:ascii="Arial" w:hAnsi="Arial" w:cs="Arial"/>
          <w:color w:val="FF0000"/>
          <w:sz w:val="24"/>
          <w:szCs w:val="24"/>
        </w:rPr>
      </w:pPr>
      <w:r w:rsidRPr="00806B47">
        <w:rPr>
          <w:rFonts w:ascii="Arial" w:hAnsi="Arial" w:cs="Arial"/>
          <w:color w:val="FF0000"/>
          <w:sz w:val="24"/>
          <w:szCs w:val="24"/>
        </w:rPr>
        <w:t>Virements shall not be permitted to increase Item: Remuneration of Councillors to any other Item: Expenditure classification</w:t>
      </w:r>
    </w:p>
    <w:p w14:paraId="698CD609" w14:textId="77777777" w:rsidR="004F5ED2" w:rsidRPr="00806B47" w:rsidRDefault="004F5ED2" w:rsidP="004F5ED2">
      <w:pPr>
        <w:pStyle w:val="ListParagraph"/>
        <w:rPr>
          <w:rFonts w:ascii="Arial" w:hAnsi="Arial" w:cs="Arial"/>
          <w:color w:val="FF0000"/>
          <w:sz w:val="24"/>
          <w:szCs w:val="24"/>
        </w:rPr>
      </w:pPr>
    </w:p>
    <w:p w14:paraId="5AFC027E" w14:textId="77777777" w:rsidR="004F5ED2" w:rsidRPr="00806B47" w:rsidRDefault="004F5ED2" w:rsidP="004F5ED2">
      <w:pPr>
        <w:pStyle w:val="ListParagraph"/>
        <w:numPr>
          <w:ilvl w:val="0"/>
          <w:numId w:val="20"/>
        </w:numPr>
        <w:ind w:left="1134" w:hanging="425"/>
        <w:jc w:val="both"/>
        <w:rPr>
          <w:rFonts w:ascii="Arial" w:hAnsi="Arial" w:cs="Arial"/>
          <w:color w:val="FF0000"/>
          <w:sz w:val="24"/>
          <w:szCs w:val="24"/>
        </w:rPr>
      </w:pPr>
      <w:r w:rsidRPr="00806B47">
        <w:rPr>
          <w:rFonts w:ascii="Arial" w:hAnsi="Arial" w:cs="Arial"/>
          <w:color w:val="FF0000"/>
          <w:sz w:val="24"/>
          <w:szCs w:val="24"/>
        </w:rPr>
        <w:t>Virements shall not be permitted to increase or decrease the following items and/or projects:</w:t>
      </w:r>
    </w:p>
    <w:p w14:paraId="10F872D8" w14:textId="77777777" w:rsidR="004F5ED2" w:rsidRPr="00806B47" w:rsidRDefault="004F5ED2" w:rsidP="004F5ED2">
      <w:pPr>
        <w:pStyle w:val="ListParagraph"/>
        <w:rPr>
          <w:rFonts w:ascii="Arial" w:hAnsi="Arial" w:cs="Arial"/>
          <w:color w:val="FF0000"/>
          <w:sz w:val="24"/>
          <w:szCs w:val="24"/>
        </w:rPr>
      </w:pPr>
    </w:p>
    <w:p w14:paraId="265A7E7E"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Bulk Purchases</w:t>
      </w:r>
    </w:p>
    <w:p w14:paraId="78B38030"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Gains and Losses: Impairment Loss</w:t>
      </w:r>
    </w:p>
    <w:p w14:paraId="1949982B"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Gains and Losses: Reversal of Impairment Loss</w:t>
      </w:r>
    </w:p>
    <w:p w14:paraId="375F5E4C"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Interest, Dividend, Rent on Land: Interest Paid</w:t>
      </w:r>
    </w:p>
    <w:p w14:paraId="60B157AF"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 xml:space="preserve">Expenditure: Depreciation and Amortisation </w:t>
      </w:r>
    </w:p>
    <w:p w14:paraId="0E7DB8C2"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Transfers and Subsidies: Capital: Allocations in kind: Households</w:t>
      </w:r>
    </w:p>
    <w:p w14:paraId="08259856"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Transfers and Subsidies: Capital: Monetary allocations: Households</w:t>
      </w:r>
    </w:p>
    <w:p w14:paraId="2551D504"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Transfers and Subsidies: Operational: Allocations in kind: Households</w:t>
      </w:r>
    </w:p>
    <w:p w14:paraId="4F65AFA7"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Transfers and Subsidies: Operational: Monetary allocations: Households</w:t>
      </w:r>
    </w:p>
    <w:p w14:paraId="0B107229"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Project: Operational: Typical Workstreams: Cost of Free Basic Services</w:t>
      </w:r>
    </w:p>
    <w:p w14:paraId="10F8563B" w14:textId="77777777" w:rsidR="004F5ED2" w:rsidRPr="00806B47" w:rsidRDefault="004F5ED2" w:rsidP="004F5ED2">
      <w:pPr>
        <w:pStyle w:val="ListParagraph"/>
        <w:numPr>
          <w:ilvl w:val="1"/>
          <w:numId w:val="20"/>
        </w:numPr>
        <w:ind w:left="1701" w:hanging="567"/>
        <w:rPr>
          <w:rFonts w:ascii="Arial" w:hAnsi="Arial" w:cs="Arial"/>
          <w:sz w:val="24"/>
          <w:szCs w:val="24"/>
        </w:rPr>
      </w:pPr>
      <w:r w:rsidRPr="00806B47">
        <w:rPr>
          <w:rFonts w:ascii="Arial" w:hAnsi="Arial" w:cs="Arial"/>
          <w:sz w:val="24"/>
          <w:szCs w:val="24"/>
        </w:rPr>
        <w:t>Project: Operational: Typical Workstreams: Revenue Cost of Free Basic Services</w:t>
      </w:r>
    </w:p>
    <w:p w14:paraId="2210C5EA" w14:textId="77777777" w:rsidR="004F5ED2" w:rsidRPr="00806B47" w:rsidRDefault="004F5ED2" w:rsidP="004F5ED2">
      <w:pPr>
        <w:pStyle w:val="ListParagraph"/>
        <w:numPr>
          <w:ilvl w:val="1"/>
          <w:numId w:val="20"/>
        </w:numPr>
        <w:ind w:left="1701" w:hanging="567"/>
        <w:rPr>
          <w:rFonts w:ascii="Arial" w:hAnsi="Arial" w:cs="Arial"/>
          <w:sz w:val="24"/>
          <w:szCs w:val="24"/>
        </w:rPr>
      </w:pPr>
      <w:r w:rsidRPr="00806B47">
        <w:rPr>
          <w:rFonts w:ascii="Arial" w:hAnsi="Arial" w:cs="Arial"/>
          <w:sz w:val="24"/>
          <w:szCs w:val="24"/>
        </w:rPr>
        <w:t>Project: Operational: Typical Workstreams: Property rates rebates</w:t>
      </w:r>
    </w:p>
    <w:p w14:paraId="7885697C"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Expenditure: Operational costs: Insurance Underwriting</w:t>
      </w:r>
    </w:p>
    <w:p w14:paraId="312CC531" w14:textId="77777777" w:rsidR="004F5ED2" w:rsidRPr="00806B47" w:rsidRDefault="004F5ED2" w:rsidP="004F5ED2">
      <w:pPr>
        <w:pStyle w:val="ListParagraph"/>
        <w:numPr>
          <w:ilvl w:val="1"/>
          <w:numId w:val="20"/>
        </w:numPr>
        <w:ind w:left="1701" w:hanging="567"/>
        <w:jc w:val="both"/>
        <w:rPr>
          <w:rFonts w:ascii="Arial" w:hAnsi="Arial" w:cs="Arial"/>
          <w:sz w:val="24"/>
          <w:szCs w:val="24"/>
        </w:rPr>
      </w:pPr>
      <w:r w:rsidRPr="00806B47">
        <w:rPr>
          <w:rFonts w:ascii="Arial" w:hAnsi="Arial" w:cs="Arial"/>
          <w:sz w:val="24"/>
          <w:szCs w:val="24"/>
        </w:rPr>
        <w:t>Assets: Current Assets: VAT Receivable</w:t>
      </w:r>
    </w:p>
    <w:p w14:paraId="1D95A81E" w14:textId="77777777" w:rsidR="004F5ED2" w:rsidRPr="00806B47" w:rsidRDefault="004F5ED2" w:rsidP="004F5ED2">
      <w:pPr>
        <w:pStyle w:val="ListParagraph"/>
        <w:numPr>
          <w:ilvl w:val="1"/>
          <w:numId w:val="20"/>
        </w:numPr>
        <w:ind w:left="1701" w:hanging="567"/>
        <w:rPr>
          <w:rFonts w:ascii="Arial" w:hAnsi="Arial" w:cs="Arial"/>
          <w:sz w:val="24"/>
          <w:szCs w:val="24"/>
        </w:rPr>
      </w:pPr>
      <w:r w:rsidRPr="00806B47">
        <w:rPr>
          <w:rFonts w:ascii="Arial" w:hAnsi="Arial" w:cs="Arial"/>
          <w:sz w:val="24"/>
          <w:szCs w:val="24"/>
        </w:rPr>
        <w:t>Liabilities: Current Liabilities: VAT Control (Payable)</w:t>
      </w:r>
    </w:p>
    <w:p w14:paraId="115F4D09" w14:textId="77777777" w:rsidR="004F5ED2" w:rsidRPr="00806B47" w:rsidRDefault="004F5ED2" w:rsidP="004F5ED2">
      <w:pPr>
        <w:pStyle w:val="ListParagraph"/>
        <w:numPr>
          <w:ilvl w:val="1"/>
          <w:numId w:val="20"/>
        </w:numPr>
        <w:jc w:val="both"/>
        <w:rPr>
          <w:rFonts w:ascii="Arial" w:hAnsi="Arial" w:cs="Arial"/>
          <w:sz w:val="24"/>
          <w:szCs w:val="24"/>
        </w:rPr>
      </w:pPr>
      <w:r w:rsidRPr="00806B47">
        <w:rPr>
          <w:rFonts w:ascii="Arial" w:hAnsi="Arial" w:cs="Arial"/>
          <w:sz w:val="24"/>
          <w:szCs w:val="24"/>
        </w:rPr>
        <w:t xml:space="preserve">    Liabilities: VAT Credit: Output Accrual</w:t>
      </w:r>
    </w:p>
    <w:p w14:paraId="101B0659" w14:textId="77777777" w:rsidR="004F5ED2" w:rsidRPr="00806B47" w:rsidRDefault="004F5ED2" w:rsidP="004F5ED2">
      <w:pPr>
        <w:pStyle w:val="ListParagraph"/>
        <w:numPr>
          <w:ilvl w:val="1"/>
          <w:numId w:val="20"/>
        </w:numPr>
        <w:jc w:val="both"/>
        <w:rPr>
          <w:rFonts w:ascii="Arial" w:hAnsi="Arial" w:cs="Arial"/>
          <w:sz w:val="24"/>
          <w:szCs w:val="24"/>
        </w:rPr>
      </w:pPr>
      <w:r w:rsidRPr="00806B47">
        <w:rPr>
          <w:rFonts w:ascii="Arial" w:hAnsi="Arial" w:cs="Arial"/>
          <w:sz w:val="24"/>
          <w:szCs w:val="24"/>
        </w:rPr>
        <w:t xml:space="preserve">    Liabilities: Output VAT</w:t>
      </w:r>
    </w:p>
    <w:p w14:paraId="77CF4105" w14:textId="77777777" w:rsidR="004F5ED2" w:rsidRPr="00806B47" w:rsidRDefault="004F5ED2" w:rsidP="004F5ED2">
      <w:pPr>
        <w:pStyle w:val="ListParagraph"/>
        <w:numPr>
          <w:ilvl w:val="1"/>
          <w:numId w:val="20"/>
        </w:numPr>
        <w:ind w:left="1701" w:hanging="621"/>
        <w:jc w:val="both"/>
        <w:rPr>
          <w:rFonts w:ascii="Arial" w:hAnsi="Arial" w:cs="Arial"/>
          <w:sz w:val="24"/>
          <w:szCs w:val="24"/>
        </w:rPr>
      </w:pPr>
      <w:r w:rsidRPr="00806B47">
        <w:rPr>
          <w:rFonts w:ascii="Arial" w:hAnsi="Arial" w:cs="Arial"/>
          <w:sz w:val="24"/>
          <w:szCs w:val="24"/>
        </w:rPr>
        <w:t>Liabilities: Provision for Doubtful Debt Impairment</w:t>
      </w:r>
    </w:p>
    <w:p w14:paraId="64FE61F6" w14:textId="77777777" w:rsidR="004F5ED2" w:rsidRPr="00806B47" w:rsidRDefault="004F5ED2" w:rsidP="004F5ED2">
      <w:pPr>
        <w:pStyle w:val="ListParagraph"/>
        <w:jc w:val="both"/>
        <w:rPr>
          <w:rFonts w:ascii="Arial" w:hAnsi="Arial" w:cs="Arial"/>
          <w:sz w:val="24"/>
          <w:szCs w:val="24"/>
        </w:rPr>
      </w:pPr>
    </w:p>
    <w:p w14:paraId="0E011208" w14:textId="77777777" w:rsidR="004F5ED2" w:rsidRPr="00806B47" w:rsidRDefault="004F5ED2" w:rsidP="004F5ED2">
      <w:pPr>
        <w:pStyle w:val="ListParagraph"/>
        <w:numPr>
          <w:ilvl w:val="0"/>
          <w:numId w:val="20"/>
        </w:numPr>
        <w:spacing w:after="0" w:line="276" w:lineRule="auto"/>
        <w:jc w:val="both"/>
        <w:rPr>
          <w:rFonts w:ascii="Arial" w:hAnsi="Arial" w:cs="Arial"/>
          <w:color w:val="FF0000"/>
          <w:sz w:val="24"/>
          <w:szCs w:val="24"/>
        </w:rPr>
      </w:pPr>
      <w:r w:rsidRPr="00806B47">
        <w:rPr>
          <w:rFonts w:ascii="Arial" w:hAnsi="Arial" w:cs="Arial"/>
          <w:color w:val="FF0000"/>
          <w:sz w:val="24"/>
          <w:szCs w:val="24"/>
        </w:rPr>
        <w:t>Virements shall not be permitted where this would result in creation of ‘new’ capital and/or operational projects to the Capital or Operational Budget, that had not been originally budgeted for in the Original Budget approved by Council.</w:t>
      </w:r>
    </w:p>
    <w:p w14:paraId="5A1D7374" w14:textId="77777777" w:rsidR="004F5ED2" w:rsidRPr="00806B47" w:rsidRDefault="004F5ED2" w:rsidP="004F5ED2">
      <w:pPr>
        <w:pStyle w:val="ListParagraph"/>
        <w:spacing w:after="0" w:line="276" w:lineRule="auto"/>
        <w:jc w:val="both"/>
        <w:rPr>
          <w:rFonts w:ascii="Arial" w:hAnsi="Arial" w:cs="Arial"/>
          <w:color w:val="FF0000"/>
          <w:sz w:val="24"/>
          <w:szCs w:val="24"/>
        </w:rPr>
      </w:pPr>
    </w:p>
    <w:p w14:paraId="36E30BF9" w14:textId="77777777" w:rsidR="004F5ED2" w:rsidRPr="00806B47" w:rsidRDefault="004F5ED2" w:rsidP="004F5ED2">
      <w:pPr>
        <w:pStyle w:val="ListParagraph"/>
        <w:numPr>
          <w:ilvl w:val="0"/>
          <w:numId w:val="20"/>
        </w:numPr>
        <w:spacing w:after="0" w:line="276" w:lineRule="auto"/>
        <w:jc w:val="both"/>
        <w:rPr>
          <w:rFonts w:ascii="Arial" w:hAnsi="Arial" w:cs="Arial"/>
          <w:color w:val="FF0000"/>
          <w:sz w:val="24"/>
          <w:szCs w:val="24"/>
        </w:rPr>
      </w:pPr>
      <w:r w:rsidRPr="00806B47">
        <w:rPr>
          <w:rFonts w:ascii="Arial" w:hAnsi="Arial" w:cs="Arial"/>
          <w:color w:val="FF0000"/>
          <w:sz w:val="24"/>
          <w:szCs w:val="24"/>
        </w:rPr>
        <w:lastRenderedPageBreak/>
        <w:t>Virements shall not be permitted for items with the funding source being Fund: Operational: Transfers and Subsidies and/or Fund: Capital: Transfers and Subsidies, where this may result in items being funded for purposes that are not in accordance with the conditions in the relevant conditional grant framework</w:t>
      </w:r>
    </w:p>
    <w:p w14:paraId="3F4F1956" w14:textId="77777777" w:rsidR="004F5ED2" w:rsidRPr="00806B47" w:rsidRDefault="004F5ED2" w:rsidP="004F5ED2">
      <w:pPr>
        <w:pStyle w:val="ListParagraph"/>
        <w:spacing w:after="0" w:line="276" w:lineRule="auto"/>
        <w:jc w:val="both"/>
        <w:rPr>
          <w:rFonts w:ascii="Arial" w:hAnsi="Arial" w:cs="Arial"/>
          <w:color w:val="FF0000"/>
          <w:sz w:val="24"/>
          <w:szCs w:val="24"/>
        </w:rPr>
      </w:pPr>
    </w:p>
    <w:p w14:paraId="588BD5D4" w14:textId="77777777" w:rsidR="004F5ED2" w:rsidRPr="00806B47" w:rsidRDefault="004F5ED2" w:rsidP="004F5ED2">
      <w:pPr>
        <w:pStyle w:val="ListParagraph"/>
        <w:numPr>
          <w:ilvl w:val="0"/>
          <w:numId w:val="20"/>
        </w:numPr>
        <w:spacing w:after="0" w:line="276" w:lineRule="auto"/>
        <w:jc w:val="both"/>
        <w:rPr>
          <w:rFonts w:ascii="Arial" w:hAnsi="Arial" w:cs="Arial"/>
          <w:color w:val="FF0000"/>
          <w:sz w:val="24"/>
          <w:szCs w:val="24"/>
        </w:rPr>
      </w:pPr>
      <w:r w:rsidRPr="00806B47">
        <w:rPr>
          <w:rFonts w:ascii="Arial" w:hAnsi="Arial" w:cs="Arial"/>
          <w:color w:val="FF0000"/>
          <w:sz w:val="24"/>
          <w:szCs w:val="24"/>
        </w:rPr>
        <w:t>Virements shall not be permitted that will result in a decrease Project: Operational: Maintenance.</w:t>
      </w:r>
    </w:p>
    <w:p w14:paraId="0796FAD7" w14:textId="77777777" w:rsidR="004F5ED2" w:rsidRPr="00806B47" w:rsidRDefault="004F5ED2" w:rsidP="004F5ED2">
      <w:pPr>
        <w:pStyle w:val="ListParagraph"/>
        <w:rPr>
          <w:rFonts w:ascii="Arial" w:hAnsi="Arial" w:cs="Arial"/>
          <w:color w:val="FF0000"/>
          <w:sz w:val="24"/>
          <w:szCs w:val="24"/>
        </w:rPr>
      </w:pPr>
    </w:p>
    <w:p w14:paraId="4621AEE5" w14:textId="77777777" w:rsidR="004F5ED2" w:rsidRPr="00806B47" w:rsidRDefault="004F5ED2" w:rsidP="004F5ED2">
      <w:pPr>
        <w:pStyle w:val="ListParagraph"/>
        <w:numPr>
          <w:ilvl w:val="0"/>
          <w:numId w:val="20"/>
        </w:numPr>
        <w:spacing w:after="0" w:line="276" w:lineRule="auto"/>
        <w:jc w:val="both"/>
        <w:rPr>
          <w:rFonts w:ascii="Arial" w:hAnsi="Arial" w:cs="Arial"/>
          <w:color w:val="FF0000"/>
          <w:sz w:val="24"/>
          <w:szCs w:val="24"/>
        </w:rPr>
      </w:pPr>
      <w:r w:rsidRPr="00806B47">
        <w:rPr>
          <w:rFonts w:ascii="Arial" w:hAnsi="Arial" w:cs="Arial"/>
          <w:color w:val="FF0000"/>
          <w:sz w:val="24"/>
          <w:szCs w:val="24"/>
        </w:rPr>
        <w:t xml:space="preserve">Virements shall not be permitted within a vote or a sub-vote where the items do not contain the same funding source description. </w:t>
      </w:r>
    </w:p>
    <w:p w14:paraId="153F6827" w14:textId="77777777" w:rsidR="004F5ED2" w:rsidRPr="00806B47" w:rsidRDefault="004F5ED2" w:rsidP="004F5ED2">
      <w:pPr>
        <w:pStyle w:val="ListParagraph"/>
        <w:rPr>
          <w:rFonts w:ascii="Arial" w:hAnsi="Arial" w:cs="Arial"/>
          <w:color w:val="FF0000"/>
          <w:sz w:val="24"/>
          <w:szCs w:val="24"/>
        </w:rPr>
      </w:pPr>
    </w:p>
    <w:p w14:paraId="3C8B554B" w14:textId="77777777" w:rsidR="004F5ED2" w:rsidRPr="00806B47" w:rsidRDefault="004F5ED2" w:rsidP="004F5ED2">
      <w:pPr>
        <w:pStyle w:val="ListParagraph"/>
        <w:numPr>
          <w:ilvl w:val="0"/>
          <w:numId w:val="20"/>
        </w:numPr>
        <w:jc w:val="both"/>
        <w:rPr>
          <w:rFonts w:ascii="Arial" w:hAnsi="Arial" w:cs="Arial"/>
          <w:color w:val="FF0000"/>
          <w:sz w:val="24"/>
          <w:szCs w:val="24"/>
        </w:rPr>
      </w:pPr>
      <w:r w:rsidRPr="00806B47">
        <w:rPr>
          <w:rFonts w:ascii="Arial" w:hAnsi="Arial" w:cs="Arial"/>
          <w:color w:val="FF0000"/>
          <w:sz w:val="24"/>
          <w:szCs w:val="24"/>
        </w:rPr>
        <w:t>Virements shall not be permitted within a function or sub-function where items do not contain the same source of funding.</w:t>
      </w:r>
    </w:p>
    <w:p w14:paraId="4853EFC5" w14:textId="77777777" w:rsidR="004F5ED2" w:rsidRPr="00806B47" w:rsidRDefault="004F5ED2" w:rsidP="004F5ED2">
      <w:pPr>
        <w:pStyle w:val="ListParagraph"/>
        <w:rPr>
          <w:rFonts w:ascii="Arial" w:hAnsi="Arial" w:cs="Arial"/>
          <w:color w:val="FF0000"/>
          <w:sz w:val="24"/>
          <w:szCs w:val="24"/>
        </w:rPr>
      </w:pPr>
    </w:p>
    <w:p w14:paraId="57222405" w14:textId="77777777" w:rsidR="004F5ED2" w:rsidRPr="00806B47" w:rsidRDefault="004F5ED2" w:rsidP="004F5ED2">
      <w:pPr>
        <w:pStyle w:val="ListParagraph"/>
        <w:numPr>
          <w:ilvl w:val="0"/>
          <w:numId w:val="20"/>
        </w:numPr>
        <w:jc w:val="both"/>
        <w:rPr>
          <w:rFonts w:ascii="Arial" w:hAnsi="Arial" w:cs="Arial"/>
          <w:color w:val="FF0000"/>
          <w:sz w:val="24"/>
          <w:szCs w:val="24"/>
        </w:rPr>
      </w:pPr>
      <w:r w:rsidRPr="00806B47">
        <w:rPr>
          <w:rFonts w:ascii="Arial" w:hAnsi="Arial" w:cs="Arial"/>
          <w:color w:val="FF0000"/>
          <w:sz w:val="24"/>
          <w:szCs w:val="24"/>
        </w:rPr>
        <w:t>Virements shall not be permitted where this would result in a vote or item incurring over-expenditure.  This includes committed expenditure and takes into account issued orders and awards made to suppliers.</w:t>
      </w:r>
    </w:p>
    <w:p w14:paraId="53CCAA48" w14:textId="77777777" w:rsidR="004F5ED2" w:rsidRPr="00806B47" w:rsidRDefault="004F5ED2" w:rsidP="004F5ED2">
      <w:pPr>
        <w:pStyle w:val="ListParagraph"/>
        <w:rPr>
          <w:rFonts w:ascii="Arial" w:hAnsi="Arial" w:cs="Arial"/>
          <w:color w:val="FF0000"/>
          <w:sz w:val="24"/>
          <w:szCs w:val="24"/>
        </w:rPr>
      </w:pPr>
    </w:p>
    <w:p w14:paraId="6DAD7D85" w14:textId="77777777" w:rsidR="004F5ED2" w:rsidRPr="00806B47" w:rsidRDefault="004F5ED2" w:rsidP="004F5ED2">
      <w:pPr>
        <w:pStyle w:val="ListParagraph"/>
        <w:numPr>
          <w:ilvl w:val="0"/>
          <w:numId w:val="20"/>
        </w:numPr>
        <w:spacing w:after="0" w:line="276" w:lineRule="auto"/>
        <w:ind w:left="709" w:hanging="425"/>
        <w:jc w:val="both"/>
        <w:rPr>
          <w:rFonts w:ascii="Arial" w:hAnsi="Arial" w:cs="Arial"/>
          <w:color w:val="FF0000"/>
          <w:sz w:val="24"/>
          <w:szCs w:val="24"/>
        </w:rPr>
      </w:pPr>
      <w:r w:rsidRPr="00806B47">
        <w:rPr>
          <w:rFonts w:ascii="Arial" w:hAnsi="Arial" w:cs="Arial"/>
          <w:color w:val="FF0000"/>
          <w:sz w:val="24"/>
          <w:szCs w:val="24"/>
        </w:rPr>
        <w:t>Virements between votes may be permitted where the proposed reallocation would result in refinement and correction to item segments to enable improved financial management reporting and monitoring, subject to the virement adhering to the provisions indicated above.</w:t>
      </w:r>
    </w:p>
    <w:p w14:paraId="33B550B4" w14:textId="77777777" w:rsidR="004F5ED2" w:rsidRPr="00806B47" w:rsidRDefault="004F5ED2" w:rsidP="004F5ED2">
      <w:pPr>
        <w:pStyle w:val="ListParagraph"/>
        <w:rPr>
          <w:rFonts w:ascii="Arial" w:hAnsi="Arial" w:cs="Arial"/>
          <w:color w:val="FF0000"/>
          <w:sz w:val="24"/>
          <w:szCs w:val="24"/>
        </w:rPr>
      </w:pPr>
    </w:p>
    <w:p w14:paraId="4DE5C6C2" w14:textId="77777777" w:rsidR="004F5ED2" w:rsidRPr="00806B47" w:rsidRDefault="004F5ED2" w:rsidP="004F5ED2">
      <w:pPr>
        <w:pStyle w:val="Heading1"/>
        <w:numPr>
          <w:ilvl w:val="0"/>
          <w:numId w:val="16"/>
        </w:numPr>
        <w:tabs>
          <w:tab w:val="left" w:pos="567"/>
        </w:tabs>
        <w:spacing w:before="0" w:line="276" w:lineRule="auto"/>
        <w:ind w:left="567" w:hanging="567"/>
        <w:jc w:val="both"/>
        <w:rPr>
          <w:rFonts w:ascii="Arial" w:hAnsi="Arial" w:cs="Arial"/>
          <w:b/>
          <w:bCs/>
          <w:sz w:val="24"/>
          <w:szCs w:val="24"/>
        </w:rPr>
      </w:pPr>
      <w:bookmarkStart w:id="9" w:name="_Toc66441082"/>
      <w:r w:rsidRPr="00806B47">
        <w:rPr>
          <w:rFonts w:ascii="Arial" w:hAnsi="Arial" w:cs="Arial"/>
          <w:b/>
          <w:bCs/>
          <w:sz w:val="24"/>
          <w:szCs w:val="24"/>
        </w:rPr>
        <w:t>THE VIREMENT PROCESS</w:t>
      </w:r>
      <w:bookmarkEnd w:id="9"/>
    </w:p>
    <w:p w14:paraId="0306D141" w14:textId="77777777" w:rsidR="004F5ED2" w:rsidRPr="00806B47" w:rsidRDefault="004F5ED2" w:rsidP="004F5ED2">
      <w:pPr>
        <w:widowControl w:val="0"/>
        <w:tabs>
          <w:tab w:val="left" w:pos="567"/>
          <w:tab w:val="left" w:pos="1134"/>
        </w:tabs>
        <w:autoSpaceDE w:val="0"/>
        <w:autoSpaceDN w:val="0"/>
        <w:spacing w:after="0" w:line="276" w:lineRule="auto"/>
        <w:ind w:left="567" w:right="121"/>
        <w:jc w:val="both"/>
        <w:rPr>
          <w:rFonts w:ascii="Arial" w:hAnsi="Arial" w:cs="Arial"/>
          <w:b/>
          <w:bCs/>
          <w:sz w:val="24"/>
          <w:szCs w:val="24"/>
        </w:rPr>
      </w:pPr>
    </w:p>
    <w:p w14:paraId="379656BF" w14:textId="77777777" w:rsidR="004F5ED2" w:rsidRPr="00806B47" w:rsidRDefault="004F5ED2" w:rsidP="004F5ED2">
      <w:pPr>
        <w:pStyle w:val="ListParagraph"/>
        <w:widowControl w:val="0"/>
        <w:numPr>
          <w:ilvl w:val="1"/>
          <w:numId w:val="16"/>
        </w:numPr>
        <w:tabs>
          <w:tab w:val="left" w:pos="0"/>
          <w:tab w:val="left" w:pos="567"/>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 xml:space="preserve">Virement requests shall be completed on the Virement Transfer Form of the municipality by the requesting Department and forwarded to the Budget and Reporting Office for consideration. </w:t>
      </w:r>
    </w:p>
    <w:p w14:paraId="1D8AB6B5" w14:textId="77777777" w:rsidR="004F5ED2" w:rsidRPr="00806B47" w:rsidRDefault="004F5ED2" w:rsidP="004F5ED2">
      <w:pPr>
        <w:pStyle w:val="ListParagraph"/>
        <w:widowControl w:val="0"/>
        <w:tabs>
          <w:tab w:val="left" w:pos="0"/>
          <w:tab w:val="left" w:pos="567"/>
        </w:tabs>
        <w:autoSpaceDE w:val="0"/>
        <w:autoSpaceDN w:val="0"/>
        <w:spacing w:after="0" w:line="276" w:lineRule="auto"/>
        <w:ind w:left="564" w:right="121"/>
        <w:jc w:val="both"/>
        <w:rPr>
          <w:rFonts w:ascii="Arial" w:hAnsi="Arial" w:cs="Arial"/>
          <w:sz w:val="24"/>
          <w:szCs w:val="24"/>
        </w:rPr>
      </w:pPr>
    </w:p>
    <w:p w14:paraId="6D8FF5A6" w14:textId="77777777" w:rsidR="004F5ED2" w:rsidRPr="00806B47" w:rsidRDefault="004F5ED2" w:rsidP="004F5ED2">
      <w:pPr>
        <w:pStyle w:val="ListParagraph"/>
        <w:widowControl w:val="0"/>
        <w:numPr>
          <w:ilvl w:val="1"/>
          <w:numId w:val="16"/>
        </w:numPr>
        <w:tabs>
          <w:tab w:val="left" w:pos="0"/>
          <w:tab w:val="left" w:pos="567"/>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 xml:space="preserve">The Chief Financial Officer shall approve virement requests in accordance with this policy requirements to a maximum rand value of </w:t>
      </w:r>
      <w:proofErr w:type="spellStart"/>
      <w:r w:rsidRPr="00806B47">
        <w:rPr>
          <w:rFonts w:ascii="Arial" w:hAnsi="Arial" w:cs="Arial"/>
          <w:sz w:val="24"/>
          <w:szCs w:val="24"/>
        </w:rPr>
        <w:t>Rxxx</w:t>
      </w:r>
      <w:proofErr w:type="spellEnd"/>
    </w:p>
    <w:p w14:paraId="46CFCE7A" w14:textId="77777777" w:rsidR="004F5ED2" w:rsidRPr="00806B47" w:rsidRDefault="004F5ED2" w:rsidP="004F5ED2">
      <w:pPr>
        <w:pStyle w:val="ListParagraph"/>
        <w:rPr>
          <w:rFonts w:ascii="Arial" w:hAnsi="Arial" w:cs="Arial"/>
          <w:sz w:val="24"/>
          <w:szCs w:val="24"/>
        </w:rPr>
      </w:pPr>
    </w:p>
    <w:p w14:paraId="2D30EAD3" w14:textId="77777777" w:rsidR="004F5ED2" w:rsidRPr="00806B47" w:rsidRDefault="004F5ED2" w:rsidP="004F5ED2">
      <w:pPr>
        <w:pStyle w:val="ListParagraph"/>
        <w:numPr>
          <w:ilvl w:val="1"/>
          <w:numId w:val="16"/>
        </w:numPr>
        <w:jc w:val="both"/>
        <w:rPr>
          <w:rFonts w:ascii="Arial" w:hAnsi="Arial" w:cs="Arial"/>
          <w:sz w:val="24"/>
          <w:szCs w:val="24"/>
        </w:rPr>
      </w:pPr>
      <w:r w:rsidRPr="00806B47">
        <w:rPr>
          <w:rFonts w:ascii="Arial" w:hAnsi="Arial" w:cs="Arial"/>
          <w:sz w:val="24"/>
          <w:szCs w:val="24"/>
        </w:rPr>
        <w:t xml:space="preserve">The Municipal Manager shall approve shall approve virement requests in accordance with this policy requirements to a maximum rand value of </w:t>
      </w:r>
      <w:proofErr w:type="spellStart"/>
      <w:r w:rsidRPr="00806B47">
        <w:rPr>
          <w:rFonts w:ascii="Arial" w:hAnsi="Arial" w:cs="Arial"/>
          <w:sz w:val="24"/>
          <w:szCs w:val="24"/>
        </w:rPr>
        <w:t>Rxxx</w:t>
      </w:r>
      <w:proofErr w:type="spellEnd"/>
    </w:p>
    <w:p w14:paraId="48AD6596" w14:textId="77777777" w:rsidR="004F5ED2" w:rsidRPr="00806B47" w:rsidRDefault="004F5ED2" w:rsidP="004F5ED2">
      <w:pPr>
        <w:pStyle w:val="ListParagraph"/>
        <w:rPr>
          <w:rFonts w:ascii="Arial" w:hAnsi="Arial" w:cs="Arial"/>
          <w:sz w:val="24"/>
          <w:szCs w:val="24"/>
        </w:rPr>
      </w:pPr>
    </w:p>
    <w:p w14:paraId="3F1F0987" w14:textId="77777777" w:rsidR="004F5ED2" w:rsidRPr="00806B47" w:rsidRDefault="004F5ED2" w:rsidP="004F5ED2">
      <w:pPr>
        <w:pStyle w:val="ListParagraph"/>
        <w:numPr>
          <w:ilvl w:val="1"/>
          <w:numId w:val="16"/>
        </w:numPr>
        <w:jc w:val="both"/>
        <w:rPr>
          <w:rFonts w:ascii="Arial" w:hAnsi="Arial" w:cs="Arial"/>
          <w:sz w:val="24"/>
          <w:szCs w:val="24"/>
        </w:rPr>
      </w:pPr>
      <w:r w:rsidRPr="00806B47">
        <w:rPr>
          <w:rFonts w:ascii="Arial" w:hAnsi="Arial" w:cs="Arial"/>
          <w:sz w:val="24"/>
          <w:szCs w:val="24"/>
        </w:rPr>
        <w:t>Virements in excess of R xxx shall be tabled at the EXCO/Portfolio/Council for approval.</w:t>
      </w:r>
    </w:p>
    <w:p w14:paraId="24BD584F" w14:textId="77777777" w:rsidR="004F5ED2" w:rsidRPr="00806B47" w:rsidRDefault="004F5ED2" w:rsidP="004F5ED2">
      <w:pPr>
        <w:pStyle w:val="ListParagraph"/>
        <w:rPr>
          <w:rFonts w:ascii="Arial" w:hAnsi="Arial" w:cs="Arial"/>
          <w:sz w:val="24"/>
          <w:szCs w:val="24"/>
        </w:rPr>
      </w:pPr>
    </w:p>
    <w:p w14:paraId="0EF1A77E" w14:textId="77777777" w:rsidR="004F5ED2" w:rsidRPr="00806B47" w:rsidRDefault="004F5ED2" w:rsidP="004F5ED2">
      <w:pPr>
        <w:pStyle w:val="ListParagraph"/>
        <w:widowControl w:val="0"/>
        <w:numPr>
          <w:ilvl w:val="1"/>
          <w:numId w:val="16"/>
        </w:numPr>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Funds to be transferred to or from a main vote and project shall be limited to the delegation of powers and all approval procedures must be followed.</w:t>
      </w:r>
    </w:p>
    <w:p w14:paraId="67B3499D" w14:textId="77777777" w:rsidR="004F5ED2" w:rsidRPr="00806B47" w:rsidRDefault="004F5ED2" w:rsidP="004F5ED2">
      <w:pPr>
        <w:pStyle w:val="ListParagraph"/>
        <w:rPr>
          <w:rFonts w:ascii="Arial" w:hAnsi="Arial" w:cs="Arial"/>
          <w:sz w:val="24"/>
          <w:szCs w:val="24"/>
        </w:rPr>
      </w:pPr>
    </w:p>
    <w:p w14:paraId="641BF8C1" w14:textId="77777777" w:rsidR="004F5ED2" w:rsidRPr="00806B47" w:rsidRDefault="004F5ED2" w:rsidP="004F5ED2">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 xml:space="preserve">Capital Budget Virements within a GFS Classification (Functions) must be approved by the relevant Director, the Municipal Manager and Chief Financial </w:t>
      </w:r>
      <w:r w:rsidRPr="00806B47">
        <w:rPr>
          <w:rFonts w:ascii="Arial" w:hAnsi="Arial" w:cs="Arial"/>
          <w:sz w:val="24"/>
          <w:szCs w:val="24"/>
        </w:rPr>
        <w:lastRenderedPageBreak/>
        <w:t>Officer</w:t>
      </w:r>
    </w:p>
    <w:p w14:paraId="2022F376" w14:textId="77777777" w:rsidR="004F5ED2" w:rsidRPr="00806B47" w:rsidRDefault="004F5ED2" w:rsidP="004F5ED2">
      <w:pPr>
        <w:widowControl w:val="0"/>
        <w:tabs>
          <w:tab w:val="left" w:pos="567"/>
          <w:tab w:val="left" w:pos="1134"/>
        </w:tabs>
        <w:autoSpaceDE w:val="0"/>
        <w:autoSpaceDN w:val="0"/>
        <w:spacing w:after="0" w:line="276" w:lineRule="auto"/>
        <w:ind w:right="121"/>
        <w:jc w:val="both"/>
        <w:rPr>
          <w:rFonts w:ascii="Arial" w:hAnsi="Arial" w:cs="Arial"/>
          <w:sz w:val="24"/>
          <w:szCs w:val="24"/>
        </w:rPr>
      </w:pPr>
    </w:p>
    <w:p w14:paraId="77E2A631" w14:textId="77777777" w:rsidR="004F5ED2" w:rsidRPr="00806B47" w:rsidRDefault="004F5ED2" w:rsidP="004F5ED2">
      <w:pPr>
        <w:keepNext/>
        <w:keepLines/>
        <w:numPr>
          <w:ilvl w:val="0"/>
          <w:numId w:val="16"/>
        </w:numPr>
        <w:tabs>
          <w:tab w:val="left" w:pos="567"/>
        </w:tabs>
        <w:spacing w:after="0" w:line="276" w:lineRule="auto"/>
        <w:ind w:left="567" w:hanging="567"/>
        <w:jc w:val="both"/>
        <w:outlineLvl w:val="0"/>
        <w:rPr>
          <w:rFonts w:ascii="Arial" w:eastAsiaTheme="majorEastAsia" w:hAnsi="Arial" w:cs="Arial"/>
          <w:b/>
          <w:bCs/>
          <w:color w:val="2F5496" w:themeColor="accent1" w:themeShade="BF"/>
          <w:sz w:val="24"/>
          <w:szCs w:val="24"/>
        </w:rPr>
      </w:pPr>
      <w:bookmarkStart w:id="10" w:name="_Toc66441083"/>
      <w:r w:rsidRPr="00806B47">
        <w:rPr>
          <w:rFonts w:ascii="Arial" w:eastAsiaTheme="majorEastAsia" w:hAnsi="Arial" w:cs="Arial"/>
          <w:b/>
          <w:bCs/>
          <w:color w:val="2F5496" w:themeColor="accent1" w:themeShade="BF"/>
          <w:sz w:val="24"/>
          <w:szCs w:val="24"/>
        </w:rPr>
        <w:t>FINANCIAL RESPONSIBILITY</w:t>
      </w:r>
      <w:bookmarkEnd w:id="10"/>
    </w:p>
    <w:p w14:paraId="4D0EAC12" w14:textId="77777777" w:rsidR="004F5ED2" w:rsidRPr="00806B47" w:rsidRDefault="004F5ED2" w:rsidP="004F5ED2">
      <w:pPr>
        <w:keepNext/>
        <w:keepLines/>
        <w:tabs>
          <w:tab w:val="left" w:pos="567"/>
        </w:tabs>
        <w:spacing w:after="0" w:line="276" w:lineRule="auto"/>
        <w:jc w:val="both"/>
        <w:outlineLvl w:val="0"/>
        <w:rPr>
          <w:rFonts w:ascii="Arial" w:eastAsiaTheme="majorEastAsia" w:hAnsi="Arial" w:cs="Arial"/>
          <w:b/>
          <w:bCs/>
          <w:color w:val="2F5496" w:themeColor="accent1" w:themeShade="BF"/>
          <w:sz w:val="24"/>
          <w:szCs w:val="24"/>
        </w:rPr>
      </w:pPr>
    </w:p>
    <w:p w14:paraId="46EC1B8F" w14:textId="77777777" w:rsidR="004F5ED2" w:rsidRPr="00806B47" w:rsidRDefault="004F5ED2" w:rsidP="004F5ED2">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Strict budgetary control must be maintained throughout the financial year so that potential overspends and /or income under- recovery, within individual vote Business Units, are identified at the earliest possible opportunity, in accordance with Section 69 and 100 of the MFMA.</w:t>
      </w:r>
    </w:p>
    <w:p w14:paraId="6AEA21CD" w14:textId="77777777" w:rsidR="004F5ED2" w:rsidRPr="00806B47" w:rsidRDefault="004F5ED2" w:rsidP="004F5ED2">
      <w:pPr>
        <w:pStyle w:val="ListParagraph"/>
        <w:widowControl w:val="0"/>
        <w:tabs>
          <w:tab w:val="left" w:pos="567"/>
          <w:tab w:val="left" w:pos="1134"/>
        </w:tabs>
        <w:autoSpaceDE w:val="0"/>
        <w:autoSpaceDN w:val="0"/>
        <w:spacing w:after="0" w:line="276" w:lineRule="auto"/>
        <w:ind w:left="564" w:right="121"/>
        <w:jc w:val="both"/>
        <w:rPr>
          <w:rFonts w:ascii="Arial" w:hAnsi="Arial" w:cs="Arial"/>
          <w:sz w:val="24"/>
          <w:szCs w:val="24"/>
        </w:rPr>
      </w:pPr>
    </w:p>
    <w:p w14:paraId="331FA20B" w14:textId="77777777" w:rsidR="004F5ED2" w:rsidRPr="00806B47" w:rsidRDefault="004F5ED2" w:rsidP="004F5ED2">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The Accounting Officer has a statutory duty to ensure that adequate policies and procedures are in place to ensure an effective system of financial control. The budget virement process is therefore a control measure to ensure effective financial management in accordance with Section 21 (1)(a) and 27(4) of the MFMA.</w:t>
      </w:r>
    </w:p>
    <w:p w14:paraId="5F98617A" w14:textId="77777777" w:rsidR="004F5ED2" w:rsidRPr="00806B47" w:rsidRDefault="004F5ED2" w:rsidP="004F5ED2">
      <w:pPr>
        <w:pStyle w:val="ListParagraph"/>
        <w:rPr>
          <w:rFonts w:ascii="Arial" w:hAnsi="Arial" w:cs="Arial"/>
          <w:sz w:val="24"/>
          <w:szCs w:val="24"/>
        </w:rPr>
      </w:pPr>
    </w:p>
    <w:p w14:paraId="73E06B38" w14:textId="77777777" w:rsidR="004F5ED2" w:rsidRPr="00806B47" w:rsidRDefault="004F5ED2" w:rsidP="004F5ED2">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ab/>
        <w:t>It is the responsibility of the Directors Managers of each Business Unit, to which funds are allotted, to plan and conduct assigned operations so as not to expend more funds than budgeted. In addition, the responsibility to identify and report any unauthorised, irregular or fruitless and wasteful expenditure incurred remains with the respective officials in accordance with Section 78 and 102 of the MFMA.</w:t>
      </w:r>
    </w:p>
    <w:p w14:paraId="037E44C0" w14:textId="77777777" w:rsidR="004F5ED2" w:rsidRPr="00806B47" w:rsidRDefault="004F5ED2" w:rsidP="004F5ED2">
      <w:pPr>
        <w:pStyle w:val="ListParagraph"/>
        <w:widowControl w:val="0"/>
        <w:tabs>
          <w:tab w:val="left" w:pos="567"/>
          <w:tab w:val="left" w:pos="1134"/>
        </w:tabs>
        <w:autoSpaceDE w:val="0"/>
        <w:autoSpaceDN w:val="0"/>
        <w:spacing w:after="0" w:line="276" w:lineRule="auto"/>
        <w:ind w:left="564" w:right="121"/>
        <w:jc w:val="both"/>
        <w:rPr>
          <w:rFonts w:ascii="Arial" w:hAnsi="Arial" w:cs="Arial"/>
          <w:sz w:val="24"/>
          <w:szCs w:val="24"/>
        </w:rPr>
      </w:pPr>
    </w:p>
    <w:p w14:paraId="1E20218A" w14:textId="77777777" w:rsidR="004F5ED2" w:rsidRPr="00806B47" w:rsidRDefault="004F5ED2" w:rsidP="004F5ED2">
      <w:pPr>
        <w:keepNext/>
        <w:keepLines/>
        <w:numPr>
          <w:ilvl w:val="0"/>
          <w:numId w:val="16"/>
        </w:numPr>
        <w:tabs>
          <w:tab w:val="left" w:pos="567"/>
        </w:tabs>
        <w:spacing w:after="0" w:line="276" w:lineRule="auto"/>
        <w:ind w:left="567" w:hanging="567"/>
        <w:jc w:val="both"/>
        <w:outlineLvl w:val="0"/>
        <w:rPr>
          <w:rFonts w:ascii="Arial" w:eastAsiaTheme="majorEastAsia" w:hAnsi="Arial" w:cs="Arial"/>
          <w:b/>
          <w:bCs/>
          <w:color w:val="2F5496" w:themeColor="accent1" w:themeShade="BF"/>
          <w:sz w:val="24"/>
          <w:szCs w:val="24"/>
        </w:rPr>
      </w:pPr>
      <w:bookmarkStart w:id="11" w:name="_Toc66441084"/>
      <w:bookmarkStart w:id="12" w:name="_Hlk57924791"/>
      <w:r w:rsidRPr="00806B47">
        <w:rPr>
          <w:rFonts w:ascii="Arial" w:eastAsiaTheme="majorEastAsia" w:hAnsi="Arial" w:cs="Arial"/>
          <w:b/>
          <w:bCs/>
          <w:color w:val="2F5496" w:themeColor="accent1" w:themeShade="BF"/>
          <w:sz w:val="24"/>
          <w:szCs w:val="24"/>
        </w:rPr>
        <w:t>REPORTING</w:t>
      </w:r>
      <w:bookmarkEnd w:id="11"/>
    </w:p>
    <w:p w14:paraId="51B36FEB" w14:textId="77777777" w:rsidR="004F5ED2" w:rsidRPr="00806B47" w:rsidRDefault="004F5ED2" w:rsidP="004F5ED2">
      <w:pPr>
        <w:keepNext/>
        <w:keepLines/>
        <w:tabs>
          <w:tab w:val="left" w:pos="567"/>
        </w:tabs>
        <w:spacing w:after="0" w:line="276" w:lineRule="auto"/>
        <w:jc w:val="both"/>
        <w:outlineLvl w:val="0"/>
        <w:rPr>
          <w:rFonts w:ascii="Arial" w:eastAsiaTheme="majorEastAsia" w:hAnsi="Arial" w:cs="Arial"/>
          <w:b/>
          <w:bCs/>
          <w:color w:val="2F5496" w:themeColor="accent1" w:themeShade="BF"/>
          <w:sz w:val="24"/>
          <w:szCs w:val="24"/>
        </w:rPr>
      </w:pPr>
    </w:p>
    <w:bookmarkEnd w:id="12"/>
    <w:p w14:paraId="6BD95A78" w14:textId="77777777" w:rsidR="004F5ED2" w:rsidRPr="00806B47" w:rsidRDefault="004F5ED2" w:rsidP="004F5ED2">
      <w:pPr>
        <w:pStyle w:val="ListParagraph"/>
        <w:numPr>
          <w:ilvl w:val="1"/>
          <w:numId w:val="16"/>
        </w:numPr>
        <w:tabs>
          <w:tab w:val="left" w:pos="567"/>
        </w:tabs>
        <w:jc w:val="both"/>
        <w:rPr>
          <w:rFonts w:ascii="Arial" w:hAnsi="Arial" w:cs="Arial"/>
          <w:sz w:val="24"/>
          <w:szCs w:val="24"/>
        </w:rPr>
      </w:pPr>
      <w:r w:rsidRPr="00806B47">
        <w:rPr>
          <w:rFonts w:ascii="Arial" w:hAnsi="Arial" w:cs="Arial"/>
          <w:sz w:val="24"/>
          <w:szCs w:val="24"/>
        </w:rPr>
        <w:t>All virements shall be included and reported in the Section 71 reports to Council on a monthly basis.</w:t>
      </w:r>
    </w:p>
    <w:p w14:paraId="0C708E1B" w14:textId="77777777" w:rsidR="004F5ED2" w:rsidRPr="00806B47" w:rsidRDefault="004F5ED2" w:rsidP="004F5ED2">
      <w:pPr>
        <w:pStyle w:val="ListParagraph"/>
        <w:tabs>
          <w:tab w:val="left" w:pos="567"/>
        </w:tabs>
        <w:ind w:left="564"/>
        <w:jc w:val="both"/>
        <w:rPr>
          <w:rFonts w:ascii="Arial" w:hAnsi="Arial" w:cs="Arial"/>
          <w:sz w:val="24"/>
          <w:szCs w:val="24"/>
        </w:rPr>
      </w:pPr>
    </w:p>
    <w:p w14:paraId="5508537C" w14:textId="77777777" w:rsidR="004F5ED2" w:rsidRPr="00806B47" w:rsidRDefault="004F5ED2" w:rsidP="004F5ED2">
      <w:pPr>
        <w:pStyle w:val="ListParagraph"/>
        <w:numPr>
          <w:ilvl w:val="1"/>
          <w:numId w:val="16"/>
        </w:numPr>
        <w:tabs>
          <w:tab w:val="left" w:pos="567"/>
        </w:tabs>
        <w:jc w:val="both"/>
        <w:rPr>
          <w:rFonts w:ascii="Arial" w:hAnsi="Arial" w:cs="Arial"/>
          <w:sz w:val="24"/>
          <w:szCs w:val="24"/>
        </w:rPr>
      </w:pPr>
      <w:r w:rsidRPr="00806B47">
        <w:rPr>
          <w:rFonts w:ascii="Arial" w:hAnsi="Arial" w:cs="Arial"/>
          <w:sz w:val="24"/>
          <w:szCs w:val="24"/>
        </w:rPr>
        <w:t>The quarterly reports, as approved by the Accounting Officer, shall be provided to the Mayor that includes the virements that have taken place during that quarter, for tabling at Portfolio and Council meetings.</w:t>
      </w:r>
    </w:p>
    <w:p w14:paraId="3B77A64C" w14:textId="77777777" w:rsidR="004F5ED2" w:rsidRPr="00806B47" w:rsidRDefault="004F5ED2" w:rsidP="004F5ED2">
      <w:pPr>
        <w:pStyle w:val="ListParagraph"/>
        <w:rPr>
          <w:rFonts w:ascii="Arial" w:hAnsi="Arial" w:cs="Arial"/>
          <w:sz w:val="24"/>
          <w:szCs w:val="24"/>
        </w:rPr>
      </w:pPr>
    </w:p>
    <w:p w14:paraId="78337AD0" w14:textId="77777777" w:rsidR="004F5ED2" w:rsidRPr="00806B47" w:rsidRDefault="004F5ED2" w:rsidP="004F5ED2">
      <w:pPr>
        <w:pStyle w:val="ListParagraph"/>
        <w:numPr>
          <w:ilvl w:val="1"/>
          <w:numId w:val="16"/>
        </w:numPr>
        <w:tabs>
          <w:tab w:val="left" w:pos="567"/>
        </w:tabs>
        <w:jc w:val="both"/>
        <w:rPr>
          <w:rFonts w:ascii="Arial" w:hAnsi="Arial" w:cs="Arial"/>
          <w:sz w:val="24"/>
          <w:szCs w:val="24"/>
        </w:rPr>
      </w:pPr>
      <w:r w:rsidRPr="00806B47">
        <w:rPr>
          <w:rFonts w:ascii="Arial" w:hAnsi="Arial" w:cs="Arial"/>
          <w:sz w:val="24"/>
          <w:szCs w:val="24"/>
        </w:rPr>
        <w:t>All virements approved in the first 6 months of the financial year shall be considered in tabling the mid-year performance assessment and adjustment budget to Council.</w:t>
      </w:r>
    </w:p>
    <w:p w14:paraId="69FB6928" w14:textId="77777777" w:rsidR="004F5ED2" w:rsidRPr="00806B47" w:rsidRDefault="004F5ED2" w:rsidP="004F5ED2">
      <w:pPr>
        <w:pStyle w:val="ListParagraph"/>
        <w:rPr>
          <w:rFonts w:ascii="Arial" w:hAnsi="Arial" w:cs="Arial"/>
          <w:sz w:val="24"/>
          <w:szCs w:val="24"/>
        </w:rPr>
      </w:pPr>
    </w:p>
    <w:p w14:paraId="6CFE1D70" w14:textId="77777777" w:rsidR="004F5ED2" w:rsidRPr="00806B47" w:rsidRDefault="004F5ED2" w:rsidP="004F5ED2">
      <w:pPr>
        <w:keepNext/>
        <w:keepLines/>
        <w:numPr>
          <w:ilvl w:val="0"/>
          <w:numId w:val="16"/>
        </w:numPr>
        <w:tabs>
          <w:tab w:val="left" w:pos="567"/>
        </w:tabs>
        <w:spacing w:after="0" w:line="276" w:lineRule="auto"/>
        <w:jc w:val="both"/>
        <w:outlineLvl w:val="0"/>
        <w:rPr>
          <w:rFonts w:ascii="Arial" w:eastAsiaTheme="majorEastAsia" w:hAnsi="Arial" w:cs="Arial"/>
          <w:b/>
          <w:bCs/>
          <w:color w:val="2F5496" w:themeColor="accent1" w:themeShade="BF"/>
          <w:sz w:val="24"/>
          <w:szCs w:val="24"/>
        </w:rPr>
      </w:pPr>
      <w:bookmarkStart w:id="13" w:name="_Toc66441085"/>
      <w:r w:rsidRPr="00806B47">
        <w:rPr>
          <w:rFonts w:ascii="Arial" w:eastAsiaTheme="majorEastAsia" w:hAnsi="Arial" w:cs="Arial"/>
          <w:b/>
          <w:bCs/>
          <w:color w:val="2F5496" w:themeColor="accent1" w:themeShade="BF"/>
          <w:sz w:val="24"/>
          <w:szCs w:val="24"/>
        </w:rPr>
        <w:t>POLICY REVIEW</w:t>
      </w:r>
      <w:bookmarkEnd w:id="13"/>
    </w:p>
    <w:p w14:paraId="6BBC3FD4" w14:textId="77777777" w:rsidR="004F5ED2" w:rsidRPr="00806B47" w:rsidRDefault="004F5ED2" w:rsidP="004F5ED2">
      <w:pPr>
        <w:spacing w:after="0" w:line="276" w:lineRule="auto"/>
        <w:jc w:val="both"/>
        <w:rPr>
          <w:rFonts w:ascii="Arial" w:hAnsi="Arial" w:cs="Arial"/>
          <w:sz w:val="24"/>
          <w:szCs w:val="24"/>
        </w:rPr>
      </w:pPr>
    </w:p>
    <w:p w14:paraId="2FE9A8D2" w14:textId="77777777" w:rsidR="004F5ED2" w:rsidRPr="00806B47" w:rsidRDefault="004F5ED2" w:rsidP="004F5ED2">
      <w:pPr>
        <w:pStyle w:val="ListParagraph"/>
        <w:numPr>
          <w:ilvl w:val="1"/>
          <w:numId w:val="16"/>
        </w:numPr>
        <w:tabs>
          <w:tab w:val="left" w:pos="567"/>
        </w:tabs>
        <w:spacing w:after="0" w:line="276" w:lineRule="auto"/>
        <w:jc w:val="both"/>
        <w:rPr>
          <w:rFonts w:ascii="Arial" w:hAnsi="Arial" w:cs="Arial"/>
          <w:sz w:val="24"/>
          <w:szCs w:val="24"/>
        </w:rPr>
      </w:pPr>
      <w:r w:rsidRPr="00806B47">
        <w:rPr>
          <w:rFonts w:ascii="Arial" w:hAnsi="Arial" w:cs="Arial"/>
          <w:sz w:val="24"/>
          <w:szCs w:val="24"/>
        </w:rPr>
        <w:t xml:space="preserve">This policy shall be reviewed annually to ensure that it complies with changes in applicable </w:t>
      </w:r>
      <w:r w:rsidRPr="00806B47">
        <w:rPr>
          <w:rFonts w:ascii="Arial" w:hAnsi="Arial" w:cs="Arial"/>
          <w:sz w:val="24"/>
          <w:szCs w:val="24"/>
        </w:rPr>
        <w:tab/>
        <w:t>legislation and regulation.</w:t>
      </w:r>
    </w:p>
    <w:p w14:paraId="31FE3D0F" w14:textId="77777777" w:rsidR="004F5ED2" w:rsidRPr="00806B47" w:rsidRDefault="004F5ED2" w:rsidP="004F5ED2">
      <w:pPr>
        <w:pStyle w:val="ListParagraph"/>
        <w:tabs>
          <w:tab w:val="left" w:pos="567"/>
        </w:tabs>
        <w:spacing w:after="0" w:line="276" w:lineRule="auto"/>
        <w:ind w:left="564"/>
        <w:jc w:val="both"/>
        <w:rPr>
          <w:rFonts w:ascii="Arial" w:hAnsi="Arial" w:cs="Arial"/>
          <w:sz w:val="24"/>
          <w:szCs w:val="24"/>
        </w:rPr>
      </w:pPr>
    </w:p>
    <w:p w14:paraId="017927D8" w14:textId="77777777" w:rsidR="004F5ED2" w:rsidRPr="00806B47" w:rsidRDefault="004F5ED2" w:rsidP="004F5ED2">
      <w:pPr>
        <w:pStyle w:val="ListParagraph"/>
        <w:widowControl w:val="0"/>
        <w:numPr>
          <w:ilvl w:val="1"/>
          <w:numId w:val="16"/>
        </w:numPr>
        <w:tabs>
          <w:tab w:val="left" w:pos="567"/>
          <w:tab w:val="left" w:pos="1134"/>
        </w:tabs>
        <w:autoSpaceDE w:val="0"/>
        <w:autoSpaceDN w:val="0"/>
        <w:spacing w:after="0" w:line="276" w:lineRule="auto"/>
        <w:ind w:right="121"/>
        <w:jc w:val="both"/>
        <w:rPr>
          <w:rFonts w:ascii="Arial" w:hAnsi="Arial" w:cs="Arial"/>
          <w:sz w:val="24"/>
          <w:szCs w:val="24"/>
        </w:rPr>
      </w:pPr>
      <w:r w:rsidRPr="00806B47">
        <w:rPr>
          <w:rFonts w:ascii="Arial" w:hAnsi="Arial" w:cs="Arial"/>
          <w:sz w:val="24"/>
          <w:szCs w:val="24"/>
        </w:rPr>
        <w:t>The Council may from time to time amend this Virement Policy on recommendations by the Municipal Manager and introduce any measure(s) to ensure efficient, economic and effective management of Council resources.</w:t>
      </w:r>
    </w:p>
    <w:p w14:paraId="1FFA3035" w14:textId="77777777" w:rsidR="004F5ED2" w:rsidRPr="00806B47" w:rsidRDefault="004F5ED2" w:rsidP="004F5ED2">
      <w:pPr>
        <w:tabs>
          <w:tab w:val="left" w:pos="567"/>
        </w:tabs>
        <w:spacing w:after="0" w:line="276" w:lineRule="auto"/>
        <w:jc w:val="both"/>
        <w:rPr>
          <w:rFonts w:ascii="Arial" w:hAnsi="Arial" w:cs="Arial"/>
          <w:sz w:val="24"/>
          <w:szCs w:val="24"/>
        </w:rPr>
      </w:pPr>
    </w:p>
    <w:p w14:paraId="5C183792" w14:textId="77777777" w:rsidR="004F5ED2" w:rsidRPr="00806B47" w:rsidRDefault="004F5ED2" w:rsidP="004F5ED2">
      <w:pPr>
        <w:pStyle w:val="Heading1"/>
        <w:numPr>
          <w:ilvl w:val="0"/>
          <w:numId w:val="16"/>
        </w:numPr>
        <w:tabs>
          <w:tab w:val="left" w:pos="567"/>
        </w:tabs>
        <w:spacing w:before="0" w:line="276" w:lineRule="auto"/>
        <w:jc w:val="both"/>
        <w:rPr>
          <w:rFonts w:ascii="Arial" w:hAnsi="Arial" w:cs="Arial"/>
          <w:b/>
          <w:bCs/>
          <w:sz w:val="24"/>
          <w:szCs w:val="24"/>
        </w:rPr>
      </w:pPr>
      <w:bookmarkStart w:id="14" w:name="_Toc66441086"/>
      <w:r w:rsidRPr="00806B47">
        <w:rPr>
          <w:rFonts w:ascii="Arial" w:hAnsi="Arial" w:cs="Arial"/>
          <w:b/>
          <w:bCs/>
          <w:sz w:val="24"/>
          <w:szCs w:val="24"/>
        </w:rPr>
        <w:t>POLICY ADOPTION</w:t>
      </w:r>
      <w:bookmarkEnd w:id="14"/>
    </w:p>
    <w:p w14:paraId="2818CAF9" w14:textId="77777777" w:rsidR="004F5ED2" w:rsidRPr="00806B47" w:rsidRDefault="004F5ED2" w:rsidP="004F5ED2">
      <w:pPr>
        <w:tabs>
          <w:tab w:val="left" w:pos="567"/>
        </w:tabs>
        <w:spacing w:after="0" w:line="276" w:lineRule="auto"/>
        <w:jc w:val="both"/>
        <w:rPr>
          <w:rFonts w:ascii="Arial" w:hAnsi="Arial" w:cs="Arial"/>
          <w:sz w:val="24"/>
          <w:szCs w:val="24"/>
        </w:rPr>
      </w:pPr>
    </w:p>
    <w:p w14:paraId="5A2F760B" w14:textId="77777777" w:rsidR="004F5ED2" w:rsidRPr="00806B47" w:rsidRDefault="004F5ED2" w:rsidP="004F5ED2">
      <w:pPr>
        <w:tabs>
          <w:tab w:val="left" w:pos="567"/>
        </w:tabs>
        <w:spacing w:after="0" w:line="276" w:lineRule="auto"/>
        <w:jc w:val="both"/>
        <w:rPr>
          <w:rFonts w:ascii="Arial" w:hAnsi="Arial" w:cs="Arial"/>
          <w:sz w:val="24"/>
          <w:szCs w:val="24"/>
        </w:rPr>
      </w:pPr>
      <w:r w:rsidRPr="00806B47">
        <w:rPr>
          <w:rFonts w:ascii="Arial" w:hAnsi="Arial" w:cs="Arial"/>
          <w:sz w:val="24"/>
          <w:szCs w:val="24"/>
        </w:rPr>
        <w:t>11.1</w:t>
      </w:r>
      <w:r w:rsidRPr="00806B47">
        <w:rPr>
          <w:rFonts w:ascii="Arial" w:hAnsi="Arial" w:cs="Arial"/>
          <w:sz w:val="24"/>
          <w:szCs w:val="24"/>
        </w:rPr>
        <w:tab/>
        <w:t xml:space="preserve">This policy has been considered and approved by the COUNCIL OF MANDENI LOCAL MUNICIPALITY </w:t>
      </w:r>
      <w:r w:rsidRPr="00806B47">
        <w:rPr>
          <w:rFonts w:ascii="Arial" w:hAnsi="Arial" w:cs="Arial"/>
          <w:sz w:val="24"/>
          <w:szCs w:val="24"/>
        </w:rPr>
        <w:tab/>
        <w:t>as follows:</w:t>
      </w:r>
    </w:p>
    <w:p w14:paraId="69D057B0" w14:textId="77777777" w:rsidR="004F5ED2" w:rsidRPr="00806B47" w:rsidRDefault="004F5ED2" w:rsidP="004F5ED2">
      <w:pPr>
        <w:spacing w:after="0" w:line="276" w:lineRule="auto"/>
        <w:jc w:val="both"/>
        <w:rPr>
          <w:rFonts w:ascii="Arial" w:hAnsi="Arial" w:cs="Arial"/>
          <w:sz w:val="24"/>
          <w:szCs w:val="24"/>
        </w:rPr>
      </w:pPr>
    </w:p>
    <w:p w14:paraId="78C0F704" w14:textId="77777777" w:rsidR="004F5ED2" w:rsidRPr="00806B47" w:rsidRDefault="004F5ED2" w:rsidP="004F5ED2">
      <w:pPr>
        <w:tabs>
          <w:tab w:val="left" w:pos="567"/>
          <w:tab w:val="left" w:pos="709"/>
        </w:tabs>
        <w:spacing w:after="0" w:line="276" w:lineRule="auto"/>
        <w:jc w:val="both"/>
        <w:rPr>
          <w:rFonts w:ascii="Arial" w:hAnsi="Arial" w:cs="Arial"/>
          <w:sz w:val="24"/>
          <w:szCs w:val="24"/>
        </w:rPr>
      </w:pPr>
      <w:r w:rsidRPr="00806B47">
        <w:rPr>
          <w:rFonts w:ascii="Arial" w:hAnsi="Arial" w:cs="Arial"/>
          <w:sz w:val="24"/>
          <w:szCs w:val="24"/>
        </w:rPr>
        <w:tab/>
        <w:t>Resolution No: ………………………….</w:t>
      </w:r>
    </w:p>
    <w:p w14:paraId="1DD14CDE" w14:textId="77777777" w:rsidR="004F5ED2" w:rsidRPr="00806B47" w:rsidRDefault="004F5ED2" w:rsidP="004F5ED2">
      <w:pPr>
        <w:tabs>
          <w:tab w:val="left" w:pos="567"/>
        </w:tabs>
        <w:spacing w:after="0" w:line="276" w:lineRule="auto"/>
        <w:jc w:val="both"/>
        <w:rPr>
          <w:rFonts w:ascii="Arial" w:hAnsi="Arial" w:cs="Arial"/>
          <w:sz w:val="24"/>
          <w:szCs w:val="24"/>
        </w:rPr>
      </w:pPr>
      <w:r w:rsidRPr="00806B47">
        <w:rPr>
          <w:rFonts w:ascii="Arial" w:hAnsi="Arial" w:cs="Arial"/>
          <w:sz w:val="24"/>
          <w:szCs w:val="24"/>
        </w:rPr>
        <w:tab/>
        <w:t>Approval Date: .....................</w:t>
      </w:r>
    </w:p>
    <w:p w14:paraId="017E903B" w14:textId="77777777" w:rsidR="004F5ED2" w:rsidRPr="00806B47" w:rsidRDefault="004F5ED2" w:rsidP="004F5ED2">
      <w:pPr>
        <w:jc w:val="both"/>
        <w:rPr>
          <w:rFonts w:ascii="Arial" w:hAnsi="Arial" w:cs="Arial"/>
          <w:sz w:val="24"/>
          <w:szCs w:val="24"/>
        </w:rPr>
      </w:pPr>
    </w:p>
    <w:p w14:paraId="6F6FE805" w14:textId="77777777" w:rsidR="004F5ED2" w:rsidRPr="00806B47" w:rsidRDefault="004F5ED2" w:rsidP="004F5ED2">
      <w:pPr>
        <w:jc w:val="both"/>
        <w:rPr>
          <w:rFonts w:ascii="Arial" w:hAnsi="Arial" w:cs="Arial"/>
          <w:sz w:val="24"/>
          <w:szCs w:val="24"/>
        </w:rPr>
      </w:pPr>
    </w:p>
    <w:p w14:paraId="3324F7B0" w14:textId="77777777" w:rsidR="004F5ED2" w:rsidRPr="00806B47" w:rsidRDefault="004F5ED2" w:rsidP="004F5ED2">
      <w:pPr>
        <w:jc w:val="both"/>
        <w:rPr>
          <w:rFonts w:ascii="Arial" w:hAnsi="Arial" w:cs="Arial"/>
          <w:sz w:val="24"/>
          <w:szCs w:val="24"/>
        </w:rPr>
      </w:pPr>
    </w:p>
    <w:p w14:paraId="2C3EE14C" w14:textId="77777777" w:rsidR="004F5ED2" w:rsidRPr="00806B47" w:rsidRDefault="004F5ED2" w:rsidP="004F5ED2">
      <w:pPr>
        <w:jc w:val="both"/>
        <w:rPr>
          <w:rFonts w:ascii="Arial" w:hAnsi="Arial" w:cs="Arial"/>
          <w:sz w:val="24"/>
          <w:szCs w:val="24"/>
        </w:rPr>
      </w:pPr>
    </w:p>
    <w:p w14:paraId="0355E998" w14:textId="77777777" w:rsidR="009B38A6" w:rsidRPr="00806B47" w:rsidRDefault="009B38A6" w:rsidP="004F5ED2">
      <w:pPr>
        <w:rPr>
          <w:rFonts w:ascii="Arial" w:hAnsi="Arial" w:cs="Arial"/>
          <w:sz w:val="24"/>
          <w:szCs w:val="24"/>
        </w:rPr>
      </w:pPr>
    </w:p>
    <w:sectPr w:rsidR="009B38A6" w:rsidRPr="00806B47" w:rsidSect="00E65D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6A9F" w14:textId="77777777" w:rsidR="00233346" w:rsidRDefault="00233346" w:rsidP="00F31A2B">
      <w:pPr>
        <w:spacing w:after="0" w:line="240" w:lineRule="auto"/>
      </w:pPr>
      <w:r>
        <w:separator/>
      </w:r>
    </w:p>
  </w:endnote>
  <w:endnote w:type="continuationSeparator" w:id="0">
    <w:p w14:paraId="2C26E2C7" w14:textId="77777777" w:rsidR="00233346" w:rsidRDefault="00233346" w:rsidP="00F3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062144"/>
      <w:docPartObj>
        <w:docPartGallery w:val="Page Numbers (Bottom of Page)"/>
        <w:docPartUnique/>
      </w:docPartObj>
    </w:sdtPr>
    <w:sdtContent>
      <w:p w14:paraId="3C496F7E" w14:textId="77777777" w:rsidR="00F31A2B" w:rsidRDefault="00F31A2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46FF40" w14:textId="77777777" w:rsidR="00F31A2B" w:rsidRDefault="00F31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7F63" w14:textId="77777777" w:rsidR="00233346" w:rsidRDefault="00233346" w:rsidP="00F31A2B">
      <w:pPr>
        <w:spacing w:after="0" w:line="240" w:lineRule="auto"/>
      </w:pPr>
      <w:r>
        <w:separator/>
      </w:r>
    </w:p>
  </w:footnote>
  <w:footnote w:type="continuationSeparator" w:id="0">
    <w:p w14:paraId="4F44654C" w14:textId="77777777" w:rsidR="00233346" w:rsidRDefault="00233346" w:rsidP="00F31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40A"/>
    <w:multiLevelType w:val="hybridMultilevel"/>
    <w:tmpl w:val="1BD87E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A16C8A"/>
    <w:multiLevelType w:val="hybridMultilevel"/>
    <w:tmpl w:val="B456DC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393143"/>
    <w:multiLevelType w:val="hybridMultilevel"/>
    <w:tmpl w:val="3F2C0B80"/>
    <w:lvl w:ilvl="0" w:tplc="265AC2E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BB74D2"/>
    <w:multiLevelType w:val="hybridMultilevel"/>
    <w:tmpl w:val="DF08E910"/>
    <w:lvl w:ilvl="0" w:tplc="524477B2">
      <w:numFmt w:val="bullet"/>
      <w:lvlText w:val="-"/>
      <w:lvlJc w:val="left"/>
      <w:pPr>
        <w:ind w:left="720" w:hanging="360"/>
      </w:pPr>
      <w:rPr>
        <w:rFonts w:ascii="Times New Roman" w:eastAsia="Times New Roman" w:hAnsi="Times New Roman" w:cs="Times New Roman"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E14C10"/>
    <w:multiLevelType w:val="hybridMultilevel"/>
    <w:tmpl w:val="728025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A920DC"/>
    <w:multiLevelType w:val="hybridMultilevel"/>
    <w:tmpl w:val="8DA2E1DE"/>
    <w:lvl w:ilvl="0" w:tplc="6428AFC6">
      <w:numFmt w:val="bullet"/>
      <w:lvlText w:val=""/>
      <w:lvlJc w:val="left"/>
      <w:pPr>
        <w:ind w:left="720" w:hanging="360"/>
      </w:pPr>
      <w:rPr>
        <w:rFonts w:ascii="Symbol" w:eastAsia="Symbol" w:hAnsi="Symbol" w:cs="Symbol" w:hint="default"/>
        <w:w w:val="100"/>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5520BA"/>
    <w:multiLevelType w:val="hybridMultilevel"/>
    <w:tmpl w:val="66FC4EE2"/>
    <w:lvl w:ilvl="0" w:tplc="4E22EEBA">
      <w:numFmt w:val="bullet"/>
      <w:lvlText w:val="•"/>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3B55FC"/>
    <w:multiLevelType w:val="hybridMultilevel"/>
    <w:tmpl w:val="FFF03F48"/>
    <w:lvl w:ilvl="0" w:tplc="45D687F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61A63D1"/>
    <w:multiLevelType w:val="hybridMultilevel"/>
    <w:tmpl w:val="9B86F600"/>
    <w:lvl w:ilvl="0" w:tplc="524477B2">
      <w:numFmt w:val="bullet"/>
      <w:lvlText w:val="-"/>
      <w:lvlJc w:val="left"/>
      <w:pPr>
        <w:ind w:left="720" w:hanging="360"/>
      </w:pPr>
      <w:rPr>
        <w:rFonts w:ascii="Times New Roman" w:eastAsia="Times New Roman" w:hAnsi="Times New Roman" w:cs="Times New Roman"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400875"/>
    <w:multiLevelType w:val="hybridMultilevel"/>
    <w:tmpl w:val="B3A0A7E2"/>
    <w:lvl w:ilvl="0" w:tplc="C624E17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ECF773F"/>
    <w:multiLevelType w:val="hybridMultilevel"/>
    <w:tmpl w:val="EEB6580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12A46B5"/>
    <w:multiLevelType w:val="hybridMultilevel"/>
    <w:tmpl w:val="5630EED6"/>
    <w:lvl w:ilvl="0" w:tplc="6428AFC6">
      <w:numFmt w:val="bullet"/>
      <w:lvlText w:val=""/>
      <w:lvlJc w:val="left"/>
      <w:pPr>
        <w:ind w:left="720" w:hanging="360"/>
      </w:pPr>
      <w:rPr>
        <w:rFonts w:ascii="Symbol" w:eastAsia="Symbol" w:hAnsi="Symbol" w:cs="Symbol" w:hint="default"/>
        <w:w w:val="100"/>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9106834"/>
    <w:multiLevelType w:val="hybridMultilevel"/>
    <w:tmpl w:val="B284E2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1B74252"/>
    <w:multiLevelType w:val="hybridMultilevel"/>
    <w:tmpl w:val="253CB89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3D507C4"/>
    <w:multiLevelType w:val="hybridMultilevel"/>
    <w:tmpl w:val="76FE8102"/>
    <w:lvl w:ilvl="0" w:tplc="86E47FE8">
      <w:start w:val="1"/>
      <w:numFmt w:val="lowerLetter"/>
      <w:lvlText w:val="(%1)"/>
      <w:lvlJc w:val="left"/>
      <w:pPr>
        <w:ind w:left="1287" w:hanging="360"/>
      </w:pPr>
      <w:rPr>
        <w:rFonts w:hint="default"/>
        <w:b w:val="0"/>
        <w:bCs w:val="0"/>
      </w:rPr>
    </w:lvl>
    <w:lvl w:ilvl="1" w:tplc="1C090019">
      <w:start w:val="1"/>
      <w:numFmt w:val="lowerLetter"/>
      <w:lvlText w:val="%2."/>
      <w:lvlJc w:val="left"/>
      <w:pPr>
        <w:ind w:left="1440" w:hanging="360"/>
      </w:pPr>
    </w:lvl>
    <w:lvl w:ilvl="2" w:tplc="AAA28630">
      <w:start w:val="1"/>
      <w:numFmt w:val="low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7A07F88"/>
    <w:multiLevelType w:val="hybridMultilevel"/>
    <w:tmpl w:val="E9F04834"/>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02A1792"/>
    <w:multiLevelType w:val="hybridMultilevel"/>
    <w:tmpl w:val="EE720AB0"/>
    <w:lvl w:ilvl="0" w:tplc="1C09001B">
      <w:start w:val="1"/>
      <w:numFmt w:val="lowerRoman"/>
      <w:lvlText w:val="%1."/>
      <w:lvlJc w:val="righ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8D16ABD"/>
    <w:multiLevelType w:val="hybridMultilevel"/>
    <w:tmpl w:val="240C4BD2"/>
    <w:lvl w:ilvl="0" w:tplc="8684D7D0">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A9408AD"/>
    <w:multiLevelType w:val="multilevel"/>
    <w:tmpl w:val="B4B0418E"/>
    <w:lvl w:ilvl="0">
      <w:start w:val="1"/>
      <w:numFmt w:val="decimal"/>
      <w:lvlText w:val="%1."/>
      <w:lvlJc w:val="left"/>
      <w:pPr>
        <w:ind w:left="360" w:hanging="360"/>
      </w:pPr>
      <w:rPr>
        <w:rFonts w:ascii="Arial" w:eastAsiaTheme="minorHAnsi" w:hAnsi="Arial" w:cs="Arial"/>
        <w:b/>
        <w:bCs/>
        <w:color w:val="2F5496" w:themeColor="accent1" w:themeShade="BF"/>
        <w:sz w:val="28"/>
        <w:szCs w:val="28"/>
      </w:r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6ED2A5D"/>
    <w:multiLevelType w:val="hybridMultilevel"/>
    <w:tmpl w:val="DADE1FE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7E26BB2"/>
    <w:multiLevelType w:val="hybridMultilevel"/>
    <w:tmpl w:val="1804B1BA"/>
    <w:lvl w:ilvl="0" w:tplc="524477B2">
      <w:numFmt w:val="bullet"/>
      <w:lvlText w:val="-"/>
      <w:lvlJc w:val="left"/>
      <w:pPr>
        <w:ind w:left="720" w:hanging="360"/>
      </w:pPr>
      <w:rPr>
        <w:rFonts w:ascii="Times New Roman" w:eastAsia="Times New Roman" w:hAnsi="Times New Roman" w:cs="Times New Roman" w:hint="default"/>
        <w:w w:val="10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E985E50"/>
    <w:multiLevelType w:val="hybridMultilevel"/>
    <w:tmpl w:val="0C5ECBE4"/>
    <w:lvl w:ilvl="0" w:tplc="4E22EEBA">
      <w:numFmt w:val="bullet"/>
      <w:lvlText w:val="•"/>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61644577">
    <w:abstractNumId w:val="7"/>
  </w:num>
  <w:num w:numId="2" w16cid:durableId="817187824">
    <w:abstractNumId w:val="9"/>
  </w:num>
  <w:num w:numId="3" w16cid:durableId="1810898165">
    <w:abstractNumId w:val="2"/>
  </w:num>
  <w:num w:numId="4" w16cid:durableId="1547327804">
    <w:abstractNumId w:val="4"/>
  </w:num>
  <w:num w:numId="5" w16cid:durableId="536898134">
    <w:abstractNumId w:val="10"/>
  </w:num>
  <w:num w:numId="6" w16cid:durableId="1937788178">
    <w:abstractNumId w:val="3"/>
  </w:num>
  <w:num w:numId="7" w16cid:durableId="60908425">
    <w:abstractNumId w:val="13"/>
  </w:num>
  <w:num w:numId="8" w16cid:durableId="53628273">
    <w:abstractNumId w:val="0"/>
  </w:num>
  <w:num w:numId="9" w16cid:durableId="240680272">
    <w:abstractNumId w:val="11"/>
  </w:num>
  <w:num w:numId="10" w16cid:durableId="159472642">
    <w:abstractNumId w:val="5"/>
  </w:num>
  <w:num w:numId="11" w16cid:durableId="1927231486">
    <w:abstractNumId w:val="8"/>
  </w:num>
  <w:num w:numId="12" w16cid:durableId="349373430">
    <w:abstractNumId w:val="20"/>
  </w:num>
  <w:num w:numId="13" w16cid:durableId="1361126417">
    <w:abstractNumId w:val="6"/>
  </w:num>
  <w:num w:numId="14" w16cid:durableId="85883414">
    <w:abstractNumId w:val="21"/>
  </w:num>
  <w:num w:numId="15" w16cid:durableId="268515335">
    <w:abstractNumId w:val="1"/>
  </w:num>
  <w:num w:numId="16" w16cid:durableId="2090930669">
    <w:abstractNumId w:val="18"/>
  </w:num>
  <w:num w:numId="17" w16cid:durableId="2127194555">
    <w:abstractNumId w:val="17"/>
  </w:num>
  <w:num w:numId="18" w16cid:durableId="1330135634">
    <w:abstractNumId w:val="14"/>
  </w:num>
  <w:num w:numId="19" w16cid:durableId="18969359">
    <w:abstractNumId w:val="12"/>
  </w:num>
  <w:num w:numId="20" w16cid:durableId="335231447">
    <w:abstractNumId w:val="15"/>
  </w:num>
  <w:num w:numId="21" w16cid:durableId="878779349">
    <w:abstractNumId w:val="16"/>
  </w:num>
  <w:num w:numId="22" w16cid:durableId="408357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94"/>
    <w:rsid w:val="000054CD"/>
    <w:rsid w:val="00032694"/>
    <w:rsid w:val="00047499"/>
    <w:rsid w:val="000C57BE"/>
    <w:rsid w:val="00104A2D"/>
    <w:rsid w:val="00183355"/>
    <w:rsid w:val="00190F01"/>
    <w:rsid w:val="00233346"/>
    <w:rsid w:val="00234987"/>
    <w:rsid w:val="002B482C"/>
    <w:rsid w:val="003423D5"/>
    <w:rsid w:val="00374ED8"/>
    <w:rsid w:val="00385E26"/>
    <w:rsid w:val="00392C5D"/>
    <w:rsid w:val="003D0962"/>
    <w:rsid w:val="003E1850"/>
    <w:rsid w:val="00441D69"/>
    <w:rsid w:val="004819E2"/>
    <w:rsid w:val="004A0E5D"/>
    <w:rsid w:val="004F5ED2"/>
    <w:rsid w:val="00507A8F"/>
    <w:rsid w:val="00533926"/>
    <w:rsid w:val="005538FC"/>
    <w:rsid w:val="0057280A"/>
    <w:rsid w:val="005A7628"/>
    <w:rsid w:val="00601E02"/>
    <w:rsid w:val="006217B8"/>
    <w:rsid w:val="006404AA"/>
    <w:rsid w:val="006821CC"/>
    <w:rsid w:val="0068576F"/>
    <w:rsid w:val="006A0AB0"/>
    <w:rsid w:val="00760897"/>
    <w:rsid w:val="00806B47"/>
    <w:rsid w:val="00893DF4"/>
    <w:rsid w:val="008A295B"/>
    <w:rsid w:val="008A34EA"/>
    <w:rsid w:val="008A45C2"/>
    <w:rsid w:val="008F66CD"/>
    <w:rsid w:val="008F7C09"/>
    <w:rsid w:val="009063BF"/>
    <w:rsid w:val="00931F79"/>
    <w:rsid w:val="00945397"/>
    <w:rsid w:val="00997881"/>
    <w:rsid w:val="009A677D"/>
    <w:rsid w:val="009B38A6"/>
    <w:rsid w:val="009D5119"/>
    <w:rsid w:val="00A556D3"/>
    <w:rsid w:val="00A904C1"/>
    <w:rsid w:val="00AC3805"/>
    <w:rsid w:val="00AE488C"/>
    <w:rsid w:val="00B36FA6"/>
    <w:rsid w:val="00B55F4E"/>
    <w:rsid w:val="00B6341F"/>
    <w:rsid w:val="00B8480E"/>
    <w:rsid w:val="00B9407A"/>
    <w:rsid w:val="00BF0880"/>
    <w:rsid w:val="00C90537"/>
    <w:rsid w:val="00C9328B"/>
    <w:rsid w:val="00C95D2B"/>
    <w:rsid w:val="00D2256F"/>
    <w:rsid w:val="00D60434"/>
    <w:rsid w:val="00D901C4"/>
    <w:rsid w:val="00DE368D"/>
    <w:rsid w:val="00E21D05"/>
    <w:rsid w:val="00E37FA3"/>
    <w:rsid w:val="00E65D96"/>
    <w:rsid w:val="00EC085B"/>
    <w:rsid w:val="00EF003D"/>
    <w:rsid w:val="00EF7E52"/>
    <w:rsid w:val="00F11BCC"/>
    <w:rsid w:val="00F14C37"/>
    <w:rsid w:val="00F313AA"/>
    <w:rsid w:val="00F31A2B"/>
    <w:rsid w:val="00F459D5"/>
    <w:rsid w:val="00F84842"/>
    <w:rsid w:val="00F96F12"/>
    <w:rsid w:val="00FC31FB"/>
    <w:rsid w:val="00FF49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F13A"/>
  <w15:chartTrackingRefBased/>
  <w15:docId w15:val="{455B337E-42EC-41D5-AD48-F263E2E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5D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5D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65D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2694"/>
    <w:pPr>
      <w:ind w:left="720"/>
      <w:contextualSpacing/>
    </w:pPr>
  </w:style>
  <w:style w:type="paragraph" w:customStyle="1" w:styleId="Default">
    <w:name w:val="Default"/>
    <w:rsid w:val="000326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3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2B"/>
  </w:style>
  <w:style w:type="paragraph" w:styleId="Footer">
    <w:name w:val="footer"/>
    <w:basedOn w:val="Normal"/>
    <w:link w:val="FooterChar"/>
    <w:uiPriority w:val="99"/>
    <w:unhideWhenUsed/>
    <w:rsid w:val="00F3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2B"/>
  </w:style>
  <w:style w:type="paragraph" w:styleId="BalloonText">
    <w:name w:val="Balloon Text"/>
    <w:basedOn w:val="Normal"/>
    <w:link w:val="BalloonTextChar"/>
    <w:uiPriority w:val="99"/>
    <w:semiHidden/>
    <w:unhideWhenUsed/>
    <w:rsid w:val="008A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EA"/>
    <w:rPr>
      <w:rFonts w:ascii="Tahoma" w:hAnsi="Tahoma" w:cs="Tahoma"/>
      <w:sz w:val="16"/>
      <w:szCs w:val="16"/>
    </w:rPr>
  </w:style>
  <w:style w:type="character" w:customStyle="1" w:styleId="Heading1Char">
    <w:name w:val="Heading 1 Char"/>
    <w:basedOn w:val="DefaultParagraphFont"/>
    <w:link w:val="Heading1"/>
    <w:uiPriority w:val="9"/>
    <w:rsid w:val="004F5ED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5ED2"/>
    <w:pPr>
      <w:outlineLvl w:val="9"/>
    </w:pPr>
    <w:rPr>
      <w:lang w:val="en-US"/>
    </w:rPr>
  </w:style>
  <w:style w:type="paragraph" w:styleId="TOC1">
    <w:name w:val="toc 1"/>
    <w:basedOn w:val="Normal"/>
    <w:next w:val="Normal"/>
    <w:autoRedefine/>
    <w:uiPriority w:val="39"/>
    <w:unhideWhenUsed/>
    <w:rsid w:val="004F5ED2"/>
    <w:pPr>
      <w:spacing w:after="100"/>
    </w:pPr>
  </w:style>
  <w:style w:type="character" w:styleId="Hyperlink">
    <w:name w:val="Hyperlink"/>
    <w:basedOn w:val="DefaultParagraphFont"/>
    <w:uiPriority w:val="99"/>
    <w:unhideWhenUsed/>
    <w:rsid w:val="004F5ED2"/>
    <w:rPr>
      <w:color w:val="0563C1" w:themeColor="hyperlink"/>
      <w:u w:val="single"/>
    </w:rPr>
  </w:style>
  <w:style w:type="paragraph" w:styleId="NoSpacing">
    <w:name w:val="No Spacing"/>
    <w:uiPriority w:val="1"/>
    <w:qFormat/>
    <w:rsid w:val="00E65D96"/>
    <w:pPr>
      <w:spacing w:after="0" w:line="240" w:lineRule="auto"/>
    </w:pPr>
  </w:style>
  <w:style w:type="character" w:customStyle="1" w:styleId="Heading2Char">
    <w:name w:val="Heading 2 Char"/>
    <w:basedOn w:val="DefaultParagraphFont"/>
    <w:link w:val="Heading2"/>
    <w:uiPriority w:val="9"/>
    <w:rsid w:val="00E65D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5D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65D9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65D96"/>
    <w:rPr>
      <w:rFonts w:asciiTheme="majorHAnsi" w:eastAsiaTheme="majorEastAsia" w:hAnsiTheme="majorHAnsi" w:cstheme="majorBidi"/>
      <w:color w:val="2F5496" w:themeColor="accent1" w:themeShade="BF"/>
    </w:rPr>
  </w:style>
  <w:style w:type="character" w:styleId="IntenseReference">
    <w:name w:val="Intense Reference"/>
    <w:basedOn w:val="DefaultParagraphFont"/>
    <w:uiPriority w:val="32"/>
    <w:qFormat/>
    <w:rsid w:val="00E65D96"/>
    <w:rPr>
      <w:b/>
      <w:bCs/>
      <w:smallCaps/>
      <w:color w:val="4472C4" w:themeColor="accent1"/>
      <w:spacing w:val="5"/>
    </w:rPr>
  </w:style>
  <w:style w:type="character" w:styleId="BookTitle">
    <w:name w:val="Book Title"/>
    <w:basedOn w:val="DefaultParagraphFont"/>
    <w:uiPriority w:val="33"/>
    <w:qFormat/>
    <w:rsid w:val="00E65D9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Mpume Guzana</dc:creator>
  <cp:keywords/>
  <dc:description/>
  <cp:lastModifiedBy>Siphesihle Buthelezi</cp:lastModifiedBy>
  <cp:revision>3</cp:revision>
  <cp:lastPrinted>2023-05-05T10:21:00Z</cp:lastPrinted>
  <dcterms:created xsi:type="dcterms:W3CDTF">2024-03-22T11:00:00Z</dcterms:created>
  <dcterms:modified xsi:type="dcterms:W3CDTF">2025-03-20T07:54:00Z</dcterms:modified>
</cp:coreProperties>
</file>